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eastAsia="黑体"/>
          <w:sz w:val="30"/>
          <w:szCs w:val="30"/>
        </w:rPr>
      </w:pPr>
    </w:p>
    <w:p>
      <w:pPr>
        <w:spacing w:line="360" w:lineRule="auto"/>
        <w:jc w:val="center"/>
        <w:rPr>
          <w:rFonts w:ascii="黑体" w:eastAsia="黑体"/>
          <w:sz w:val="30"/>
          <w:szCs w:val="30"/>
        </w:rPr>
      </w:pPr>
    </w:p>
    <w:p>
      <w:pPr>
        <w:spacing w:line="360" w:lineRule="auto"/>
        <w:jc w:val="center"/>
        <w:rPr>
          <w:rFonts w:ascii="黑体" w:eastAsia="黑体"/>
          <w:sz w:val="30"/>
          <w:szCs w:val="30"/>
        </w:rPr>
      </w:pPr>
    </w:p>
    <w:p>
      <w:pPr>
        <w:spacing w:line="360" w:lineRule="auto"/>
        <w:jc w:val="center"/>
        <w:rPr>
          <w:rFonts w:ascii="黑体" w:eastAsia="黑体"/>
          <w:sz w:val="30"/>
          <w:szCs w:val="30"/>
        </w:rPr>
      </w:pPr>
    </w:p>
    <w:p>
      <w:pPr>
        <w:spacing w:line="360" w:lineRule="auto"/>
        <w:rPr>
          <w:rFonts w:ascii="黑体" w:eastAsia="黑体"/>
          <w:sz w:val="30"/>
          <w:szCs w:val="30"/>
        </w:rPr>
      </w:pPr>
    </w:p>
    <w:p>
      <w:pPr>
        <w:spacing w:line="360" w:lineRule="auto"/>
        <w:jc w:val="center"/>
        <w:rPr>
          <w:rFonts w:ascii="华文中宋" w:hAnsi="华文中宋" w:eastAsia="华文中宋"/>
          <w:b/>
          <w:sz w:val="72"/>
          <w:szCs w:val="72"/>
        </w:rPr>
      </w:pPr>
      <w:r>
        <w:rPr>
          <w:rFonts w:hint="eastAsia" w:ascii="华文中宋" w:hAnsi="华文中宋" w:eastAsia="华文中宋"/>
          <w:b/>
          <w:sz w:val="72"/>
          <w:szCs w:val="72"/>
        </w:rPr>
        <w:t>上海市松江区石湖荡镇社区卫生服务中心</w:t>
      </w:r>
    </w:p>
    <w:p>
      <w:pPr>
        <w:spacing w:line="360" w:lineRule="auto"/>
        <w:jc w:val="center"/>
        <w:outlineLvl w:val="0"/>
        <w:rPr>
          <w:rFonts w:ascii="华文中宋" w:hAnsi="华文中宋" w:eastAsia="华文中宋"/>
          <w:b/>
          <w:sz w:val="72"/>
          <w:szCs w:val="72"/>
        </w:rPr>
      </w:pPr>
      <w:r>
        <w:rPr>
          <w:rFonts w:hint="eastAsia" w:ascii="华文中宋" w:hAnsi="华文中宋" w:eastAsia="华文中宋"/>
          <w:b/>
          <w:sz w:val="72"/>
          <w:szCs w:val="72"/>
        </w:rPr>
        <w:t>2018年度部门决算</w:t>
      </w:r>
    </w:p>
    <w:p>
      <w:pPr>
        <w:spacing w:line="360" w:lineRule="auto"/>
        <w:jc w:val="center"/>
        <w:rPr>
          <w:rFonts w:ascii="黑体" w:eastAsia="黑体"/>
          <w:sz w:val="84"/>
          <w:szCs w:val="84"/>
        </w:rPr>
      </w:pPr>
    </w:p>
    <w:p>
      <w:pPr>
        <w:spacing w:line="360" w:lineRule="auto"/>
        <w:jc w:val="center"/>
        <w:rPr>
          <w:rFonts w:ascii="黑体" w:eastAsia="黑体"/>
          <w:sz w:val="84"/>
          <w:szCs w:val="84"/>
        </w:rPr>
      </w:pPr>
    </w:p>
    <w:p>
      <w:pPr>
        <w:spacing w:line="360" w:lineRule="auto"/>
        <w:jc w:val="center"/>
        <w:rPr>
          <w:rFonts w:ascii="黑体" w:eastAsia="黑体"/>
          <w:sz w:val="84"/>
          <w:szCs w:val="84"/>
        </w:rPr>
      </w:pPr>
    </w:p>
    <w:p>
      <w:pPr>
        <w:spacing w:line="360" w:lineRule="auto"/>
        <w:jc w:val="center"/>
        <w:rPr>
          <w:rFonts w:ascii="黑体" w:hAnsi="华文中宋" w:eastAsia="黑体"/>
          <w:b/>
          <w:sz w:val="32"/>
          <w:szCs w:val="32"/>
        </w:rPr>
      </w:pPr>
      <w:r>
        <w:rPr>
          <w:rFonts w:ascii="华文中宋" w:hAnsi="华文中宋" w:eastAsia="华文中宋"/>
          <w:b/>
          <w:sz w:val="44"/>
          <w:szCs w:val="44"/>
        </w:rPr>
        <w:br w:type="page"/>
      </w:r>
      <w:r>
        <w:rPr>
          <w:rFonts w:hint="eastAsia" w:ascii="黑体" w:hAnsi="华文中宋" w:eastAsia="黑体"/>
          <w:b/>
          <w:sz w:val="32"/>
          <w:szCs w:val="32"/>
        </w:rPr>
        <w:t>目  录</w:t>
      </w:r>
    </w:p>
    <w:p>
      <w:pPr>
        <w:spacing w:line="360" w:lineRule="auto"/>
        <w:jc w:val="center"/>
        <w:rPr>
          <w:rFonts w:ascii="华文中宋" w:hAnsi="华文中宋" w:eastAsia="华文中宋"/>
          <w:b/>
          <w:sz w:val="36"/>
        </w:rPr>
      </w:pPr>
    </w:p>
    <w:p>
      <w:pPr>
        <w:spacing w:line="360" w:lineRule="auto"/>
        <w:rPr>
          <w:rFonts w:ascii="黑体" w:eastAsia="黑体"/>
          <w:sz w:val="30"/>
          <w:szCs w:val="30"/>
        </w:rPr>
      </w:pPr>
      <w:r>
        <w:rPr>
          <w:rFonts w:hint="eastAsia" w:ascii="黑体" w:eastAsia="黑体"/>
          <w:sz w:val="30"/>
          <w:szCs w:val="30"/>
        </w:rPr>
        <w:t>第一部分 上海市松江区石湖荡镇社区卫生服务中心概况</w:t>
      </w:r>
    </w:p>
    <w:p>
      <w:pPr>
        <w:spacing w:line="360" w:lineRule="auto"/>
        <w:rPr>
          <w:rFonts w:ascii="黑体" w:eastAsia="黑体"/>
          <w:sz w:val="30"/>
          <w:szCs w:val="30"/>
        </w:rPr>
      </w:pPr>
      <w:r>
        <w:rPr>
          <w:rFonts w:hint="eastAsia" w:ascii="楷体_GB2312" w:eastAsia="楷体_GB2312"/>
          <w:sz w:val="30"/>
          <w:szCs w:val="30"/>
        </w:rPr>
        <w:t>一、主要职能</w:t>
      </w:r>
    </w:p>
    <w:p>
      <w:pPr>
        <w:spacing w:line="360" w:lineRule="auto"/>
        <w:rPr>
          <w:rFonts w:ascii="黑体" w:eastAsia="黑体"/>
          <w:sz w:val="30"/>
          <w:szCs w:val="30"/>
        </w:rPr>
      </w:pPr>
      <w:r>
        <w:rPr>
          <w:rFonts w:hint="eastAsia" w:ascii="楷体_GB2312" w:eastAsia="楷体_GB2312"/>
          <w:sz w:val="30"/>
          <w:szCs w:val="30"/>
        </w:rPr>
        <w:t>二、机构设置</w:t>
      </w:r>
    </w:p>
    <w:p>
      <w:pPr>
        <w:spacing w:line="360" w:lineRule="auto"/>
        <w:rPr>
          <w:rFonts w:ascii="黑体" w:eastAsia="黑体"/>
          <w:sz w:val="30"/>
          <w:szCs w:val="30"/>
        </w:rPr>
      </w:pPr>
      <w:r>
        <w:rPr>
          <w:rFonts w:hint="eastAsia" w:ascii="黑体" w:eastAsia="黑体"/>
          <w:sz w:val="30"/>
          <w:szCs w:val="30"/>
        </w:rPr>
        <w:t>第二部分 上海市松江区石湖荡镇社区卫生服务中心2018年度部门决算表</w:t>
      </w:r>
    </w:p>
    <w:p>
      <w:pPr>
        <w:spacing w:line="360" w:lineRule="auto"/>
        <w:rPr>
          <w:rFonts w:ascii="黑体" w:eastAsia="黑体"/>
          <w:sz w:val="30"/>
          <w:szCs w:val="30"/>
        </w:rPr>
      </w:pPr>
      <w:r>
        <w:rPr>
          <w:rFonts w:hint="eastAsia" w:ascii="楷体_GB2312" w:eastAsia="楷体_GB2312"/>
          <w:sz w:val="30"/>
          <w:szCs w:val="30"/>
        </w:rPr>
        <w:t>一、收入支出决算总表</w:t>
      </w:r>
    </w:p>
    <w:p>
      <w:pPr>
        <w:spacing w:line="360" w:lineRule="auto"/>
        <w:rPr>
          <w:rFonts w:ascii="黑体" w:eastAsia="黑体"/>
          <w:sz w:val="30"/>
          <w:szCs w:val="30"/>
        </w:rPr>
      </w:pPr>
      <w:r>
        <w:rPr>
          <w:rFonts w:hint="eastAsia" w:ascii="楷体_GB2312" w:eastAsia="楷体_GB2312"/>
          <w:sz w:val="30"/>
          <w:szCs w:val="30"/>
        </w:rPr>
        <w:t>二、收入决算表</w:t>
      </w:r>
    </w:p>
    <w:p>
      <w:pPr>
        <w:spacing w:line="360" w:lineRule="auto"/>
        <w:rPr>
          <w:rFonts w:ascii="黑体" w:eastAsia="黑体"/>
          <w:sz w:val="30"/>
          <w:szCs w:val="30"/>
        </w:rPr>
      </w:pPr>
      <w:r>
        <w:rPr>
          <w:rFonts w:hint="eastAsia" w:ascii="楷体_GB2312" w:eastAsia="楷体_GB2312"/>
          <w:sz w:val="30"/>
          <w:szCs w:val="30"/>
        </w:rPr>
        <w:t>三、支出决算表</w:t>
      </w:r>
    </w:p>
    <w:p>
      <w:pPr>
        <w:spacing w:line="360" w:lineRule="auto"/>
        <w:rPr>
          <w:rFonts w:ascii="黑体" w:eastAsia="黑体"/>
          <w:sz w:val="30"/>
          <w:szCs w:val="30"/>
        </w:rPr>
      </w:pPr>
      <w:r>
        <w:rPr>
          <w:rFonts w:hint="eastAsia" w:ascii="楷体_GB2312" w:eastAsia="楷体_GB2312"/>
          <w:sz w:val="30"/>
          <w:szCs w:val="30"/>
        </w:rPr>
        <w:t>四、财政拨款收入支出决算总表</w:t>
      </w:r>
    </w:p>
    <w:p>
      <w:pPr>
        <w:spacing w:line="360" w:lineRule="auto"/>
        <w:rPr>
          <w:rFonts w:ascii="黑体" w:eastAsia="黑体"/>
          <w:sz w:val="30"/>
          <w:szCs w:val="30"/>
        </w:rPr>
      </w:pPr>
      <w:r>
        <w:rPr>
          <w:rFonts w:hint="eastAsia" w:ascii="楷体_GB2312" w:eastAsia="楷体_GB2312"/>
          <w:sz w:val="30"/>
          <w:szCs w:val="30"/>
        </w:rPr>
        <w:t>五、一般公共预算财政拨款支出决算表</w:t>
      </w:r>
    </w:p>
    <w:p>
      <w:pPr>
        <w:spacing w:line="360" w:lineRule="auto"/>
        <w:rPr>
          <w:rFonts w:ascii="黑体" w:eastAsia="黑体"/>
          <w:sz w:val="30"/>
          <w:szCs w:val="30"/>
        </w:rPr>
      </w:pPr>
      <w:r>
        <w:rPr>
          <w:rFonts w:hint="eastAsia" w:ascii="楷体_GB2312" w:eastAsia="楷体_GB2312"/>
          <w:sz w:val="30"/>
          <w:szCs w:val="30"/>
        </w:rPr>
        <w:t>六、一般公共预算财政拨款基本支出决算表</w:t>
      </w:r>
    </w:p>
    <w:p>
      <w:pPr>
        <w:spacing w:line="360" w:lineRule="auto"/>
        <w:rPr>
          <w:rFonts w:ascii="楷体_GB2312" w:eastAsia="楷体_GB2312"/>
          <w:color w:val="000000"/>
          <w:sz w:val="30"/>
          <w:szCs w:val="30"/>
        </w:rPr>
      </w:pPr>
      <w:r>
        <w:rPr>
          <w:rFonts w:hint="eastAsia" w:ascii="楷体_GB2312" w:eastAsia="楷体_GB2312"/>
          <w:color w:val="000000"/>
          <w:sz w:val="30"/>
          <w:szCs w:val="30"/>
        </w:rPr>
        <w:t>七、一般公共预算财政拨款“三公”经费及机关运行经费支出决算表</w:t>
      </w:r>
    </w:p>
    <w:p>
      <w:pPr>
        <w:spacing w:line="360" w:lineRule="auto"/>
        <w:rPr>
          <w:rFonts w:ascii="楷体_GB2312" w:eastAsia="楷体_GB2312"/>
          <w:sz w:val="30"/>
          <w:szCs w:val="30"/>
        </w:rPr>
      </w:pPr>
      <w:r>
        <w:rPr>
          <w:rFonts w:hint="eastAsia" w:ascii="楷体_GB2312" w:eastAsia="楷体_GB2312"/>
          <w:sz w:val="30"/>
          <w:szCs w:val="30"/>
        </w:rPr>
        <w:t>八、政府性基金预算财政拨款支出决算表</w:t>
      </w:r>
    </w:p>
    <w:p>
      <w:pPr>
        <w:spacing w:line="360" w:lineRule="auto"/>
        <w:rPr>
          <w:rFonts w:ascii="黑体" w:eastAsia="黑体"/>
          <w:color w:val="000000"/>
          <w:sz w:val="30"/>
          <w:szCs w:val="30"/>
        </w:rPr>
      </w:pPr>
      <w:r>
        <w:rPr>
          <w:rFonts w:hint="eastAsia" w:ascii="楷体_GB2312" w:eastAsia="楷体_GB2312"/>
          <w:color w:val="000000"/>
          <w:sz w:val="30"/>
          <w:szCs w:val="30"/>
        </w:rPr>
        <w:t>九、资产负债情况表</w:t>
      </w:r>
    </w:p>
    <w:p>
      <w:pPr>
        <w:spacing w:line="360" w:lineRule="auto"/>
        <w:rPr>
          <w:rFonts w:ascii="黑体" w:eastAsia="黑体"/>
          <w:sz w:val="30"/>
          <w:szCs w:val="30"/>
        </w:rPr>
      </w:pPr>
      <w:r>
        <w:rPr>
          <w:rFonts w:hint="eastAsia" w:ascii="黑体" w:eastAsia="黑体"/>
          <w:sz w:val="30"/>
          <w:szCs w:val="30"/>
        </w:rPr>
        <w:t>第三部分 上海市松江区石湖荡镇社区卫生服务中心2018年度部门决算情况说明</w:t>
      </w:r>
    </w:p>
    <w:p>
      <w:pPr>
        <w:spacing w:line="360" w:lineRule="auto"/>
        <w:rPr>
          <w:rFonts w:ascii="黑体" w:eastAsia="黑体"/>
          <w:sz w:val="30"/>
          <w:szCs w:val="30"/>
        </w:rPr>
      </w:pPr>
      <w:r>
        <w:rPr>
          <w:rFonts w:hint="eastAsia" w:ascii="黑体" w:eastAsia="黑体"/>
          <w:sz w:val="30"/>
          <w:szCs w:val="30"/>
        </w:rPr>
        <w:t>第四部分 名词解释</w:t>
      </w:r>
    </w:p>
    <w:p>
      <w:pPr>
        <w:spacing w:line="360" w:lineRule="auto"/>
        <w:rPr>
          <w:rFonts w:ascii="黑体" w:eastAsia="黑体"/>
          <w:sz w:val="30"/>
          <w:szCs w:val="30"/>
        </w:rPr>
      </w:pPr>
    </w:p>
    <w:p>
      <w:pPr>
        <w:jc w:val="center"/>
        <w:rPr>
          <w:rFonts w:ascii="华文中宋" w:hAnsi="华文中宋" w:eastAsia="华文中宋"/>
          <w:b/>
          <w:sz w:val="36"/>
        </w:rPr>
      </w:pPr>
      <w:r>
        <w:rPr>
          <w:rFonts w:ascii="华文中宋" w:hAnsi="华文中宋" w:eastAsia="华文中宋"/>
          <w:b/>
          <w:sz w:val="36"/>
        </w:rPr>
        <w:br w:type="page"/>
      </w:r>
      <w:r>
        <w:rPr>
          <w:rFonts w:hint="eastAsia" w:ascii="黑体" w:eastAsia="黑体"/>
          <w:sz w:val="30"/>
          <w:szCs w:val="30"/>
        </w:rPr>
        <w:t>第一部分    上海市松江区石湖荡镇社区卫生服务中心概况</w:t>
      </w:r>
    </w:p>
    <w:p>
      <w:pPr>
        <w:jc w:val="center"/>
        <w:rPr>
          <w:rFonts w:ascii="黑体" w:eastAsia="黑体"/>
          <w:sz w:val="30"/>
          <w:szCs w:val="30"/>
        </w:rPr>
      </w:pPr>
    </w:p>
    <w:p>
      <w:pPr>
        <w:ind w:firstLine="602" w:firstLineChars="200"/>
        <w:outlineLvl w:val="0"/>
        <w:rPr>
          <w:rFonts w:ascii="楷体_GB2312" w:eastAsia="楷体_GB2312"/>
          <w:b/>
          <w:sz w:val="30"/>
          <w:szCs w:val="30"/>
        </w:rPr>
      </w:pPr>
      <w:r>
        <w:rPr>
          <w:rFonts w:hint="eastAsia" w:ascii="楷体_GB2312" w:eastAsia="楷体_GB2312"/>
          <w:b/>
          <w:sz w:val="30"/>
          <w:szCs w:val="30"/>
        </w:rPr>
        <w:t>一、主要职能</w:t>
      </w:r>
    </w:p>
    <w:p>
      <w:pPr>
        <w:ind w:firstLine="600" w:firstLineChars="200"/>
        <w:rPr>
          <w:rFonts w:ascii="仿宋_GB2312" w:eastAsia="仿宋_GB2312"/>
          <w:sz w:val="30"/>
          <w:szCs w:val="30"/>
        </w:rPr>
      </w:pPr>
      <w:r>
        <w:rPr>
          <w:rFonts w:hint="eastAsia" w:ascii="仿宋_GB2312" w:eastAsia="仿宋_GB2312"/>
          <w:sz w:val="30"/>
          <w:szCs w:val="30"/>
        </w:rPr>
        <w:t xml:space="preserve">    以社区卫生服务中心为主体，全科医生为骨干，合理使用社区资源和适宜技术，以居民健康为中心，家庭为单位，社区为范围，需求为导向，以妇女、儿童、老年人、慢性病人、残疾人为重点，以解决社区的主要卫生问题，满足基本卫生服务需求为目的，融预防、医疗、保健、康复、健康教育为一体，有效、经济、方便、综合、连续的基层卫生服务。由主管部门根据三定方案等相关规定中有关主要职能填写。</w:t>
      </w:r>
    </w:p>
    <w:p>
      <w:pPr>
        <w:ind w:firstLine="602" w:firstLineChars="200"/>
        <w:outlineLvl w:val="0"/>
        <w:rPr>
          <w:rFonts w:ascii="楷体_GB2312" w:eastAsia="楷体_GB2312"/>
          <w:b/>
          <w:sz w:val="30"/>
          <w:szCs w:val="30"/>
        </w:rPr>
      </w:pPr>
      <w:r>
        <w:rPr>
          <w:rFonts w:hint="eastAsia" w:ascii="楷体_GB2312" w:eastAsia="楷体_GB2312"/>
          <w:b/>
          <w:sz w:val="30"/>
          <w:szCs w:val="30"/>
        </w:rPr>
        <w:t>二、机构设置</w:t>
      </w:r>
    </w:p>
    <w:p>
      <w:pPr>
        <w:ind w:firstLine="600" w:firstLineChars="200"/>
        <w:outlineLvl w:val="0"/>
        <w:rPr>
          <w:rFonts w:ascii="楷体_GB2312" w:eastAsia="楷体_GB2312"/>
          <w:sz w:val="30"/>
          <w:szCs w:val="30"/>
        </w:rPr>
      </w:pPr>
      <w:r>
        <w:rPr>
          <w:rFonts w:hint="eastAsia" w:ascii="楷体_GB2312" w:eastAsia="楷体_GB2312"/>
          <w:sz w:val="30"/>
          <w:szCs w:val="30"/>
        </w:rPr>
        <w:t>上海市松江区石湖荡镇社区卫生服务中心设9个内设机构，包括：办公室、医务科、护理部、财务科、总务科、人事档案室、信息科、预防保健科、药剂科，在辖区内设有3个中心卫生室，3个一般卫生室，有6个家庭医生服务团队。</w:t>
      </w: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26"/>
          <w:szCs w:val="26"/>
        </w:rPr>
      </w:pPr>
      <w:r>
        <w:rPr>
          <w:rFonts w:hint="eastAsia" w:ascii="黑体" w:eastAsia="黑体"/>
          <w:sz w:val="26"/>
          <w:szCs w:val="26"/>
        </w:rPr>
        <w:t>第二部分 上海市松江区石湖荡镇社区卫生服务中心2018年度部门决算表</w:t>
      </w:r>
    </w:p>
    <w:p>
      <w:pPr>
        <w:autoSpaceDE w:val="0"/>
        <w:autoSpaceDN w:val="0"/>
        <w:adjustRightInd w:val="0"/>
        <w:jc w:val="center"/>
        <w:outlineLvl w:val="0"/>
        <w:rPr>
          <w:rFonts w:ascii="宋体" w:hAnsi="宋体"/>
          <w:szCs w:val="21"/>
        </w:rPr>
      </w:pPr>
      <w:r>
        <w:rPr>
          <w:rFonts w:hint="eastAsia" w:ascii="宋体" w:hAnsi="宋体"/>
          <w:szCs w:val="21"/>
        </w:rPr>
        <w:t>2018年度收入支出决算总表</w:t>
      </w:r>
    </w:p>
    <w:p>
      <w:pPr>
        <w:autoSpaceDE w:val="0"/>
        <w:autoSpaceDN w:val="0"/>
        <w:adjustRightInd w:val="0"/>
        <w:jc w:val="right"/>
        <w:rPr>
          <w:rFonts w:ascii="宋体" w:hAnsi="宋体"/>
          <w:b/>
          <w:szCs w:val="21"/>
        </w:rPr>
      </w:pPr>
      <w:r>
        <w:rPr>
          <w:rFonts w:hint="eastAsia" w:ascii="宋体" w:hAnsi="宋体"/>
          <w:szCs w:val="21"/>
        </w:rPr>
        <w:t>单位：万元</w:t>
      </w:r>
    </w:p>
    <w:tbl>
      <w:tblPr>
        <w:tblStyle w:val="11"/>
        <w:tblW w:w="8690" w:type="dxa"/>
        <w:jc w:val="center"/>
        <w:tblInd w:w="-321" w:type="dxa"/>
        <w:tblLayout w:type="fixed"/>
        <w:tblCellMar>
          <w:top w:w="0" w:type="dxa"/>
          <w:left w:w="108" w:type="dxa"/>
          <w:bottom w:w="0" w:type="dxa"/>
          <w:right w:w="108" w:type="dxa"/>
        </w:tblCellMar>
      </w:tblPr>
      <w:tblGrid>
        <w:gridCol w:w="2930"/>
        <w:gridCol w:w="1402"/>
        <w:gridCol w:w="2918"/>
        <w:gridCol w:w="1440"/>
      </w:tblGrid>
      <w:tr>
        <w:tblPrEx>
          <w:tblLayout w:type="fixed"/>
          <w:tblCellMar>
            <w:top w:w="0" w:type="dxa"/>
            <w:left w:w="108" w:type="dxa"/>
            <w:bottom w:w="0" w:type="dxa"/>
            <w:right w:w="108" w:type="dxa"/>
          </w:tblCellMar>
        </w:tblPrEx>
        <w:trPr>
          <w:trHeight w:val="324" w:hRule="atLeast"/>
          <w:jc w:val="center"/>
        </w:trPr>
        <w:tc>
          <w:tcPr>
            <w:tcW w:w="433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收入</w:t>
            </w:r>
          </w:p>
        </w:tc>
        <w:tc>
          <w:tcPr>
            <w:tcW w:w="4358"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支出</w:t>
            </w:r>
          </w:p>
        </w:tc>
      </w:tr>
      <w:tr>
        <w:tblPrEx>
          <w:tblLayout w:type="fixed"/>
          <w:tblCellMar>
            <w:top w:w="0" w:type="dxa"/>
            <w:left w:w="108" w:type="dxa"/>
            <w:bottom w:w="0" w:type="dxa"/>
            <w:right w:w="108" w:type="dxa"/>
          </w:tblCellMar>
        </w:tblPrEx>
        <w:trPr>
          <w:trHeight w:val="324" w:hRule="atLeast"/>
          <w:jc w:val="center"/>
        </w:trPr>
        <w:tc>
          <w:tcPr>
            <w:tcW w:w="29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项目</w:t>
            </w:r>
          </w:p>
        </w:tc>
        <w:tc>
          <w:tcPr>
            <w:tcW w:w="140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决算数</w:t>
            </w:r>
          </w:p>
        </w:tc>
        <w:tc>
          <w:tcPr>
            <w:tcW w:w="2918"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项目</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决算数</w:t>
            </w:r>
          </w:p>
        </w:tc>
      </w:tr>
      <w:tr>
        <w:tblPrEx>
          <w:tblLayout w:type="fixed"/>
          <w:tblCellMar>
            <w:top w:w="0" w:type="dxa"/>
            <w:left w:w="108" w:type="dxa"/>
            <w:bottom w:w="0" w:type="dxa"/>
            <w:right w:w="108" w:type="dxa"/>
          </w:tblCellMar>
        </w:tblPrEx>
        <w:trPr>
          <w:trHeight w:val="446" w:hRule="atLeast"/>
          <w:jc w:val="center"/>
        </w:trPr>
        <w:tc>
          <w:tcPr>
            <w:tcW w:w="2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一、财政拨款收入</w:t>
            </w:r>
          </w:p>
        </w:tc>
        <w:tc>
          <w:tcPr>
            <w:tcW w:w="140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3396.86</w:t>
            </w:r>
          </w:p>
        </w:tc>
        <w:tc>
          <w:tcPr>
            <w:tcW w:w="2918"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一、一般公共服务支出</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Layout w:type="fixed"/>
          <w:tblCellMar>
            <w:top w:w="0" w:type="dxa"/>
            <w:left w:w="108" w:type="dxa"/>
            <w:bottom w:w="0" w:type="dxa"/>
            <w:right w:w="108" w:type="dxa"/>
          </w:tblCellMar>
        </w:tblPrEx>
        <w:trPr>
          <w:trHeight w:val="446" w:hRule="atLeast"/>
          <w:jc w:val="center"/>
        </w:trPr>
        <w:tc>
          <w:tcPr>
            <w:tcW w:w="2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其中：政府性基金预算财政拨款</w:t>
            </w:r>
          </w:p>
        </w:tc>
        <w:tc>
          <w:tcPr>
            <w:tcW w:w="140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2918"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二、外交支出</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Layout w:type="fixed"/>
          <w:tblCellMar>
            <w:top w:w="0" w:type="dxa"/>
            <w:left w:w="108" w:type="dxa"/>
            <w:bottom w:w="0" w:type="dxa"/>
            <w:right w:w="108" w:type="dxa"/>
          </w:tblCellMar>
        </w:tblPrEx>
        <w:trPr>
          <w:trHeight w:val="446" w:hRule="atLeast"/>
          <w:jc w:val="center"/>
        </w:trPr>
        <w:tc>
          <w:tcPr>
            <w:tcW w:w="2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二、上级补助收入</w:t>
            </w:r>
          </w:p>
        </w:tc>
        <w:tc>
          <w:tcPr>
            <w:tcW w:w="140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2918"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三、国防支出</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Layout w:type="fixed"/>
          <w:tblCellMar>
            <w:top w:w="0" w:type="dxa"/>
            <w:left w:w="108" w:type="dxa"/>
            <w:bottom w:w="0" w:type="dxa"/>
            <w:right w:w="108" w:type="dxa"/>
          </w:tblCellMar>
        </w:tblPrEx>
        <w:trPr>
          <w:trHeight w:val="446" w:hRule="atLeast"/>
          <w:jc w:val="center"/>
        </w:trPr>
        <w:tc>
          <w:tcPr>
            <w:tcW w:w="2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三、事业收入</w:t>
            </w:r>
          </w:p>
        </w:tc>
        <w:tc>
          <w:tcPr>
            <w:tcW w:w="140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2175.25</w:t>
            </w:r>
          </w:p>
        </w:tc>
        <w:tc>
          <w:tcPr>
            <w:tcW w:w="2918"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四、公共安全支出</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Layout w:type="fixed"/>
          <w:tblCellMar>
            <w:top w:w="0" w:type="dxa"/>
            <w:left w:w="108" w:type="dxa"/>
            <w:bottom w:w="0" w:type="dxa"/>
            <w:right w:w="108" w:type="dxa"/>
          </w:tblCellMar>
        </w:tblPrEx>
        <w:trPr>
          <w:trHeight w:val="446" w:hRule="atLeast"/>
          <w:jc w:val="center"/>
        </w:trPr>
        <w:tc>
          <w:tcPr>
            <w:tcW w:w="2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四、经营收入</w:t>
            </w:r>
          </w:p>
        </w:tc>
        <w:tc>
          <w:tcPr>
            <w:tcW w:w="140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2918"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五、教育支出</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4.32</w:t>
            </w:r>
          </w:p>
        </w:tc>
      </w:tr>
      <w:tr>
        <w:tblPrEx>
          <w:tblLayout w:type="fixed"/>
          <w:tblCellMar>
            <w:top w:w="0" w:type="dxa"/>
            <w:left w:w="108" w:type="dxa"/>
            <w:bottom w:w="0" w:type="dxa"/>
            <w:right w:w="108" w:type="dxa"/>
          </w:tblCellMar>
        </w:tblPrEx>
        <w:trPr>
          <w:trHeight w:val="446" w:hRule="atLeast"/>
          <w:jc w:val="center"/>
        </w:trPr>
        <w:tc>
          <w:tcPr>
            <w:tcW w:w="2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五、附属单位上缴收入</w:t>
            </w:r>
          </w:p>
        </w:tc>
        <w:tc>
          <w:tcPr>
            <w:tcW w:w="140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2918"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六、科学技术支出</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Layout w:type="fixed"/>
          <w:tblCellMar>
            <w:top w:w="0" w:type="dxa"/>
            <w:left w:w="108" w:type="dxa"/>
            <w:bottom w:w="0" w:type="dxa"/>
            <w:right w:w="108" w:type="dxa"/>
          </w:tblCellMar>
        </w:tblPrEx>
        <w:trPr>
          <w:trHeight w:val="446" w:hRule="atLeast"/>
          <w:jc w:val="center"/>
        </w:trPr>
        <w:tc>
          <w:tcPr>
            <w:tcW w:w="2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六、其他收入</w:t>
            </w:r>
          </w:p>
        </w:tc>
        <w:tc>
          <w:tcPr>
            <w:tcW w:w="140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323.32</w:t>
            </w:r>
          </w:p>
        </w:tc>
        <w:tc>
          <w:tcPr>
            <w:tcW w:w="2918"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七、文化体育与传媒支出</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Layout w:type="fixed"/>
          <w:tblCellMar>
            <w:top w:w="0" w:type="dxa"/>
            <w:left w:w="108" w:type="dxa"/>
            <w:bottom w:w="0" w:type="dxa"/>
            <w:right w:w="108" w:type="dxa"/>
          </w:tblCellMar>
        </w:tblPrEx>
        <w:trPr>
          <w:trHeight w:val="446" w:hRule="atLeast"/>
          <w:jc w:val="center"/>
        </w:trPr>
        <w:tc>
          <w:tcPr>
            <w:tcW w:w="2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w:t>
            </w:r>
          </w:p>
        </w:tc>
        <w:tc>
          <w:tcPr>
            <w:tcW w:w="140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2918"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八、社会保障和就业支出</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361.38</w:t>
            </w:r>
          </w:p>
        </w:tc>
      </w:tr>
      <w:tr>
        <w:tblPrEx>
          <w:tblLayout w:type="fixed"/>
          <w:tblCellMar>
            <w:top w:w="0" w:type="dxa"/>
            <w:left w:w="108" w:type="dxa"/>
            <w:bottom w:w="0" w:type="dxa"/>
            <w:right w:w="108" w:type="dxa"/>
          </w:tblCellMar>
        </w:tblPrEx>
        <w:trPr>
          <w:trHeight w:val="446" w:hRule="atLeast"/>
          <w:jc w:val="center"/>
        </w:trPr>
        <w:tc>
          <w:tcPr>
            <w:tcW w:w="2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w:t>
            </w:r>
          </w:p>
        </w:tc>
        <w:tc>
          <w:tcPr>
            <w:tcW w:w="140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2918"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九、医疗卫生与计划生育支出</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5514.56</w:t>
            </w:r>
          </w:p>
        </w:tc>
      </w:tr>
      <w:tr>
        <w:tblPrEx>
          <w:tblLayout w:type="fixed"/>
          <w:tblCellMar>
            <w:top w:w="0" w:type="dxa"/>
            <w:left w:w="108" w:type="dxa"/>
            <w:bottom w:w="0" w:type="dxa"/>
            <w:right w:w="108" w:type="dxa"/>
          </w:tblCellMar>
        </w:tblPrEx>
        <w:trPr>
          <w:trHeight w:val="446" w:hRule="atLeast"/>
          <w:jc w:val="center"/>
        </w:trPr>
        <w:tc>
          <w:tcPr>
            <w:tcW w:w="2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w:t>
            </w:r>
          </w:p>
        </w:tc>
        <w:tc>
          <w:tcPr>
            <w:tcW w:w="140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2918"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十、节能环保支出</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Layout w:type="fixed"/>
          <w:tblCellMar>
            <w:top w:w="0" w:type="dxa"/>
            <w:left w:w="108" w:type="dxa"/>
            <w:bottom w:w="0" w:type="dxa"/>
            <w:right w:w="108" w:type="dxa"/>
          </w:tblCellMar>
        </w:tblPrEx>
        <w:trPr>
          <w:trHeight w:val="446" w:hRule="atLeast"/>
          <w:jc w:val="center"/>
        </w:trPr>
        <w:tc>
          <w:tcPr>
            <w:tcW w:w="2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w:t>
            </w:r>
          </w:p>
        </w:tc>
        <w:tc>
          <w:tcPr>
            <w:tcW w:w="140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2918"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十一、城乡社区支出</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Layout w:type="fixed"/>
          <w:tblCellMar>
            <w:top w:w="0" w:type="dxa"/>
            <w:left w:w="108" w:type="dxa"/>
            <w:bottom w:w="0" w:type="dxa"/>
            <w:right w:w="108" w:type="dxa"/>
          </w:tblCellMar>
        </w:tblPrEx>
        <w:trPr>
          <w:trHeight w:val="446" w:hRule="atLeast"/>
          <w:jc w:val="center"/>
        </w:trPr>
        <w:tc>
          <w:tcPr>
            <w:tcW w:w="2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w:t>
            </w:r>
          </w:p>
        </w:tc>
        <w:tc>
          <w:tcPr>
            <w:tcW w:w="140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2918"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十二、农林水支出</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Layout w:type="fixed"/>
          <w:tblCellMar>
            <w:top w:w="0" w:type="dxa"/>
            <w:left w:w="108" w:type="dxa"/>
            <w:bottom w:w="0" w:type="dxa"/>
            <w:right w:w="108" w:type="dxa"/>
          </w:tblCellMar>
        </w:tblPrEx>
        <w:trPr>
          <w:trHeight w:val="446" w:hRule="atLeast"/>
          <w:jc w:val="center"/>
        </w:trPr>
        <w:tc>
          <w:tcPr>
            <w:tcW w:w="2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w:t>
            </w:r>
          </w:p>
        </w:tc>
        <w:tc>
          <w:tcPr>
            <w:tcW w:w="140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2918"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十三、交通运输支出</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Layout w:type="fixed"/>
          <w:tblCellMar>
            <w:top w:w="0" w:type="dxa"/>
            <w:left w:w="108" w:type="dxa"/>
            <w:bottom w:w="0" w:type="dxa"/>
            <w:right w:w="108" w:type="dxa"/>
          </w:tblCellMar>
        </w:tblPrEx>
        <w:trPr>
          <w:trHeight w:val="446" w:hRule="atLeast"/>
          <w:jc w:val="center"/>
        </w:trPr>
        <w:tc>
          <w:tcPr>
            <w:tcW w:w="2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w:t>
            </w:r>
          </w:p>
        </w:tc>
        <w:tc>
          <w:tcPr>
            <w:tcW w:w="140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2918"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十四、资源勘探信息等支出</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Layout w:type="fixed"/>
          <w:tblCellMar>
            <w:top w:w="0" w:type="dxa"/>
            <w:left w:w="108" w:type="dxa"/>
            <w:bottom w:w="0" w:type="dxa"/>
            <w:right w:w="108" w:type="dxa"/>
          </w:tblCellMar>
        </w:tblPrEx>
        <w:trPr>
          <w:trHeight w:val="446" w:hRule="atLeast"/>
          <w:jc w:val="center"/>
        </w:trPr>
        <w:tc>
          <w:tcPr>
            <w:tcW w:w="2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w:t>
            </w:r>
          </w:p>
        </w:tc>
        <w:tc>
          <w:tcPr>
            <w:tcW w:w="140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2918"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十五、商业服务业等支出</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Layout w:type="fixed"/>
          <w:tblCellMar>
            <w:top w:w="0" w:type="dxa"/>
            <w:left w:w="108" w:type="dxa"/>
            <w:bottom w:w="0" w:type="dxa"/>
            <w:right w:w="108" w:type="dxa"/>
          </w:tblCellMar>
        </w:tblPrEx>
        <w:trPr>
          <w:trHeight w:val="446" w:hRule="atLeast"/>
          <w:jc w:val="center"/>
        </w:trPr>
        <w:tc>
          <w:tcPr>
            <w:tcW w:w="2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w:t>
            </w:r>
          </w:p>
        </w:tc>
        <w:tc>
          <w:tcPr>
            <w:tcW w:w="140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2918"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十六、金融支出</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Layout w:type="fixed"/>
          <w:tblCellMar>
            <w:top w:w="0" w:type="dxa"/>
            <w:left w:w="108" w:type="dxa"/>
            <w:bottom w:w="0" w:type="dxa"/>
            <w:right w:w="108" w:type="dxa"/>
          </w:tblCellMar>
        </w:tblPrEx>
        <w:trPr>
          <w:trHeight w:val="446" w:hRule="atLeast"/>
          <w:jc w:val="center"/>
        </w:trPr>
        <w:tc>
          <w:tcPr>
            <w:tcW w:w="2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w:t>
            </w:r>
          </w:p>
        </w:tc>
        <w:tc>
          <w:tcPr>
            <w:tcW w:w="140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2918"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十七、援助其他地区支出</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Layout w:type="fixed"/>
          <w:tblCellMar>
            <w:top w:w="0" w:type="dxa"/>
            <w:left w:w="108" w:type="dxa"/>
            <w:bottom w:w="0" w:type="dxa"/>
            <w:right w:w="108" w:type="dxa"/>
          </w:tblCellMar>
        </w:tblPrEx>
        <w:trPr>
          <w:trHeight w:val="446" w:hRule="atLeast"/>
          <w:jc w:val="center"/>
        </w:trPr>
        <w:tc>
          <w:tcPr>
            <w:tcW w:w="2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w:t>
            </w:r>
          </w:p>
        </w:tc>
        <w:tc>
          <w:tcPr>
            <w:tcW w:w="140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2918"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十八、国土海洋气象等支出</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Layout w:type="fixed"/>
          <w:tblCellMar>
            <w:top w:w="0" w:type="dxa"/>
            <w:left w:w="108" w:type="dxa"/>
            <w:bottom w:w="0" w:type="dxa"/>
            <w:right w:w="108" w:type="dxa"/>
          </w:tblCellMar>
        </w:tblPrEx>
        <w:trPr>
          <w:trHeight w:val="446" w:hRule="atLeast"/>
          <w:jc w:val="center"/>
        </w:trPr>
        <w:tc>
          <w:tcPr>
            <w:tcW w:w="2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w:t>
            </w:r>
          </w:p>
        </w:tc>
        <w:tc>
          <w:tcPr>
            <w:tcW w:w="140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2918"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十九、住房保障支出</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1.89</w:t>
            </w:r>
          </w:p>
        </w:tc>
      </w:tr>
      <w:tr>
        <w:tblPrEx>
          <w:tblLayout w:type="fixed"/>
          <w:tblCellMar>
            <w:top w:w="0" w:type="dxa"/>
            <w:left w:w="108" w:type="dxa"/>
            <w:bottom w:w="0" w:type="dxa"/>
            <w:right w:w="108" w:type="dxa"/>
          </w:tblCellMar>
        </w:tblPrEx>
        <w:trPr>
          <w:trHeight w:val="446" w:hRule="atLeast"/>
          <w:jc w:val="center"/>
        </w:trPr>
        <w:tc>
          <w:tcPr>
            <w:tcW w:w="2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w:t>
            </w:r>
          </w:p>
        </w:tc>
        <w:tc>
          <w:tcPr>
            <w:tcW w:w="140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2918"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二十、粮油物资储备支出</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Layout w:type="fixed"/>
          <w:tblCellMar>
            <w:top w:w="0" w:type="dxa"/>
            <w:left w:w="108" w:type="dxa"/>
            <w:bottom w:w="0" w:type="dxa"/>
            <w:right w:w="108" w:type="dxa"/>
          </w:tblCellMar>
        </w:tblPrEx>
        <w:trPr>
          <w:trHeight w:val="436" w:hRule="atLeast"/>
          <w:jc w:val="center"/>
        </w:trPr>
        <w:tc>
          <w:tcPr>
            <w:tcW w:w="293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w:t>
            </w:r>
          </w:p>
        </w:tc>
        <w:tc>
          <w:tcPr>
            <w:tcW w:w="140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2918"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二十一、其他支出</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Layout w:type="fixed"/>
          <w:tblCellMar>
            <w:top w:w="0" w:type="dxa"/>
            <w:left w:w="108" w:type="dxa"/>
            <w:bottom w:w="0" w:type="dxa"/>
            <w:right w:w="108" w:type="dxa"/>
          </w:tblCellMar>
        </w:tblPrEx>
        <w:trPr>
          <w:trHeight w:val="446" w:hRule="atLeast"/>
          <w:jc w:val="center"/>
        </w:trPr>
        <w:tc>
          <w:tcPr>
            <w:tcW w:w="29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本年收入合计</w:t>
            </w:r>
          </w:p>
        </w:tc>
        <w:tc>
          <w:tcPr>
            <w:tcW w:w="140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5895.43</w:t>
            </w:r>
          </w:p>
        </w:tc>
        <w:tc>
          <w:tcPr>
            <w:tcW w:w="2918"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本年支出合计</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5882.15</w:t>
            </w:r>
          </w:p>
        </w:tc>
      </w:tr>
      <w:tr>
        <w:tblPrEx>
          <w:tblLayout w:type="fixed"/>
          <w:tblCellMar>
            <w:top w:w="0" w:type="dxa"/>
            <w:left w:w="108" w:type="dxa"/>
            <w:bottom w:w="0" w:type="dxa"/>
            <w:right w:w="108" w:type="dxa"/>
          </w:tblCellMar>
        </w:tblPrEx>
        <w:trPr>
          <w:trHeight w:val="446" w:hRule="atLeast"/>
          <w:jc w:val="center"/>
        </w:trPr>
        <w:tc>
          <w:tcPr>
            <w:tcW w:w="29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szCs w:val="21"/>
              </w:rPr>
              <w:t>用事业基金弥补收支差额</w:t>
            </w:r>
          </w:p>
        </w:tc>
        <w:tc>
          <w:tcPr>
            <w:tcW w:w="140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2918"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结余分配</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13.28</w:t>
            </w:r>
          </w:p>
        </w:tc>
      </w:tr>
      <w:tr>
        <w:tblPrEx>
          <w:tblLayout w:type="fixed"/>
          <w:tblCellMar>
            <w:top w:w="0" w:type="dxa"/>
            <w:left w:w="108" w:type="dxa"/>
            <w:bottom w:w="0" w:type="dxa"/>
            <w:right w:w="108" w:type="dxa"/>
          </w:tblCellMar>
        </w:tblPrEx>
        <w:trPr>
          <w:trHeight w:val="446" w:hRule="atLeast"/>
          <w:jc w:val="center"/>
        </w:trPr>
        <w:tc>
          <w:tcPr>
            <w:tcW w:w="29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szCs w:val="21"/>
              </w:rPr>
              <w:t>年初结转和结余</w:t>
            </w:r>
          </w:p>
        </w:tc>
        <w:tc>
          <w:tcPr>
            <w:tcW w:w="140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2918"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szCs w:val="21"/>
              </w:rPr>
              <w:t>年末结转和结余</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Layout w:type="fixed"/>
          <w:tblCellMar>
            <w:top w:w="0" w:type="dxa"/>
            <w:left w:w="108" w:type="dxa"/>
            <w:bottom w:w="0" w:type="dxa"/>
            <w:right w:w="108" w:type="dxa"/>
          </w:tblCellMar>
        </w:tblPrEx>
        <w:trPr>
          <w:trHeight w:val="446" w:hRule="atLeast"/>
          <w:jc w:val="center"/>
        </w:trPr>
        <w:tc>
          <w:tcPr>
            <w:tcW w:w="29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总计</w:t>
            </w:r>
          </w:p>
        </w:tc>
        <w:tc>
          <w:tcPr>
            <w:tcW w:w="140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5895.43</w:t>
            </w:r>
          </w:p>
        </w:tc>
        <w:tc>
          <w:tcPr>
            <w:tcW w:w="2918"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总计</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5895.43</w:t>
            </w:r>
          </w:p>
        </w:tc>
      </w:tr>
    </w:tbl>
    <w:p>
      <w:pPr>
        <w:autoSpaceDE w:val="0"/>
        <w:autoSpaceDN w:val="0"/>
        <w:adjustRightInd w:val="0"/>
        <w:rPr>
          <w:rFonts w:ascii="宋体" w:hAnsi="宋体"/>
          <w:szCs w:val="21"/>
        </w:rPr>
        <w:sectPr>
          <w:headerReference r:id="rId3" w:type="default"/>
          <w:footerReference r:id="rId4" w:type="default"/>
          <w:pgSz w:w="11906" w:h="16838"/>
          <w:pgMar w:top="1440" w:right="1797" w:bottom="1440" w:left="1797" w:header="851" w:footer="992" w:gutter="0"/>
          <w:cols w:space="425" w:num="1"/>
          <w:docGrid w:type="lines" w:linePitch="312" w:charSpace="0"/>
        </w:sectPr>
      </w:pPr>
    </w:p>
    <w:p>
      <w:pPr>
        <w:autoSpaceDE w:val="0"/>
        <w:autoSpaceDN w:val="0"/>
        <w:adjustRightInd w:val="0"/>
        <w:jc w:val="center"/>
        <w:outlineLvl w:val="0"/>
        <w:rPr>
          <w:rFonts w:ascii="宋体" w:hAnsi="宋体"/>
          <w:szCs w:val="21"/>
        </w:rPr>
      </w:pPr>
      <w:r>
        <w:rPr>
          <w:rFonts w:hint="eastAsia" w:ascii="宋体" w:hAnsi="宋体"/>
          <w:szCs w:val="21"/>
        </w:rPr>
        <w:t>2018年度收入决算表</w:t>
      </w:r>
    </w:p>
    <w:p>
      <w:pPr>
        <w:autoSpaceDE w:val="0"/>
        <w:autoSpaceDN w:val="0"/>
        <w:adjustRightInd w:val="0"/>
        <w:ind w:right="360"/>
        <w:jc w:val="right"/>
        <w:rPr>
          <w:rFonts w:ascii="宋体" w:hAnsi="宋体"/>
          <w:szCs w:val="21"/>
        </w:rPr>
      </w:pPr>
      <w:r>
        <w:rPr>
          <w:rFonts w:hint="eastAsia" w:ascii="宋体" w:hAnsi="宋体"/>
          <w:szCs w:val="21"/>
        </w:rPr>
        <w:t>单位：万元</w:t>
      </w:r>
    </w:p>
    <w:tbl>
      <w:tblPr>
        <w:tblStyle w:val="11"/>
        <w:tblW w:w="14488" w:type="dxa"/>
        <w:tblInd w:w="93" w:type="dxa"/>
        <w:tblLayout w:type="fixed"/>
        <w:tblCellMar>
          <w:top w:w="0" w:type="dxa"/>
          <w:left w:w="108" w:type="dxa"/>
          <w:bottom w:w="0" w:type="dxa"/>
          <w:right w:w="108" w:type="dxa"/>
        </w:tblCellMar>
      </w:tblPr>
      <w:tblGrid>
        <w:gridCol w:w="593"/>
        <w:gridCol w:w="469"/>
        <w:gridCol w:w="469"/>
        <w:gridCol w:w="3729"/>
        <w:gridCol w:w="1418"/>
        <w:gridCol w:w="1417"/>
        <w:gridCol w:w="1276"/>
        <w:gridCol w:w="1417"/>
        <w:gridCol w:w="1276"/>
        <w:gridCol w:w="1134"/>
        <w:gridCol w:w="1290"/>
      </w:tblGrid>
      <w:tr>
        <w:tblPrEx>
          <w:tblLayout w:type="fixed"/>
          <w:tblCellMar>
            <w:top w:w="0" w:type="dxa"/>
            <w:left w:w="108" w:type="dxa"/>
            <w:bottom w:w="0" w:type="dxa"/>
            <w:right w:w="108" w:type="dxa"/>
          </w:tblCellMar>
        </w:tblPrEx>
        <w:trPr>
          <w:trHeight w:val="450" w:hRule="atLeast"/>
        </w:trPr>
        <w:tc>
          <w:tcPr>
            <w:tcW w:w="5260"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项目</w:t>
            </w:r>
          </w:p>
        </w:tc>
        <w:tc>
          <w:tcPr>
            <w:tcW w:w="1418"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本年收入合计</w:t>
            </w:r>
          </w:p>
        </w:tc>
        <w:tc>
          <w:tcPr>
            <w:tcW w:w="1417"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财政拨款收入</w:t>
            </w:r>
          </w:p>
        </w:tc>
        <w:tc>
          <w:tcPr>
            <w:tcW w:w="1276"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上级补助收入</w:t>
            </w:r>
          </w:p>
        </w:tc>
        <w:tc>
          <w:tcPr>
            <w:tcW w:w="1417"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事业收入</w:t>
            </w:r>
          </w:p>
        </w:tc>
        <w:tc>
          <w:tcPr>
            <w:tcW w:w="1276"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经营收入</w:t>
            </w:r>
          </w:p>
        </w:tc>
        <w:tc>
          <w:tcPr>
            <w:tcW w:w="1134"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附属单位上缴收入</w:t>
            </w:r>
          </w:p>
        </w:tc>
        <w:tc>
          <w:tcPr>
            <w:tcW w:w="129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其他收入</w:t>
            </w:r>
          </w:p>
        </w:tc>
      </w:tr>
      <w:tr>
        <w:tblPrEx>
          <w:tblLayout w:type="fixed"/>
          <w:tblCellMar>
            <w:top w:w="0" w:type="dxa"/>
            <w:left w:w="108" w:type="dxa"/>
            <w:bottom w:w="0" w:type="dxa"/>
            <w:right w:w="108" w:type="dxa"/>
          </w:tblCellMar>
        </w:tblPrEx>
        <w:trPr>
          <w:trHeight w:val="675" w:hRule="atLeast"/>
        </w:trPr>
        <w:tc>
          <w:tcPr>
            <w:tcW w:w="1531" w:type="dxa"/>
            <w:gridSpan w:val="3"/>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功能分类</w:t>
            </w:r>
            <w:r>
              <w:rPr>
                <w:rFonts w:hint="eastAsia" w:ascii="宋体" w:hAnsi="宋体" w:cs="宋体"/>
                <w:kern w:val="0"/>
                <w:szCs w:val="21"/>
              </w:rPr>
              <w:br w:type="textWrapping"/>
            </w:r>
            <w:r>
              <w:rPr>
                <w:rFonts w:hint="eastAsia" w:ascii="宋体" w:hAnsi="宋体" w:cs="宋体"/>
                <w:kern w:val="0"/>
                <w:szCs w:val="21"/>
              </w:rPr>
              <w:t>科目编码</w:t>
            </w:r>
          </w:p>
        </w:tc>
        <w:tc>
          <w:tcPr>
            <w:tcW w:w="3729"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科目名称</w:t>
            </w:r>
          </w:p>
        </w:tc>
        <w:tc>
          <w:tcPr>
            <w:tcW w:w="141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p>
        </w:tc>
        <w:tc>
          <w:tcPr>
            <w:tcW w:w="14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p>
        </w:tc>
        <w:tc>
          <w:tcPr>
            <w:tcW w:w="14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p>
        </w:tc>
        <w:tc>
          <w:tcPr>
            <w:tcW w:w="113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p>
        </w:tc>
        <w:tc>
          <w:tcPr>
            <w:tcW w:w="129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450" w:hRule="atLeast"/>
        </w:trPr>
        <w:tc>
          <w:tcPr>
            <w:tcW w:w="1531"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p>
        </w:tc>
        <w:tc>
          <w:tcPr>
            <w:tcW w:w="3729"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p>
        </w:tc>
        <w:tc>
          <w:tcPr>
            <w:tcW w:w="141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p>
        </w:tc>
        <w:tc>
          <w:tcPr>
            <w:tcW w:w="14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p>
        </w:tc>
        <w:tc>
          <w:tcPr>
            <w:tcW w:w="14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p>
        </w:tc>
        <w:tc>
          <w:tcPr>
            <w:tcW w:w="1276"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p>
        </w:tc>
        <w:tc>
          <w:tcPr>
            <w:tcW w:w="113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p>
        </w:tc>
        <w:tc>
          <w:tcPr>
            <w:tcW w:w="129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450" w:hRule="atLeast"/>
        </w:trPr>
        <w:tc>
          <w:tcPr>
            <w:tcW w:w="593" w:type="dxa"/>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r>
              <w:rPr>
                <w:rFonts w:hint="eastAsia" w:ascii="宋体" w:hAnsi="宋体" w:cs="宋体"/>
                <w:kern w:val="0"/>
                <w:szCs w:val="21"/>
              </w:rPr>
              <w:t>类</w:t>
            </w:r>
          </w:p>
        </w:tc>
        <w:tc>
          <w:tcPr>
            <w:tcW w:w="469" w:type="dxa"/>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r>
              <w:rPr>
                <w:rFonts w:hint="eastAsia" w:ascii="宋体" w:hAnsi="宋体" w:cs="宋体"/>
                <w:kern w:val="0"/>
                <w:szCs w:val="21"/>
              </w:rPr>
              <w:t>款</w:t>
            </w:r>
          </w:p>
        </w:tc>
        <w:tc>
          <w:tcPr>
            <w:tcW w:w="469" w:type="dxa"/>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r>
              <w:rPr>
                <w:rFonts w:hint="eastAsia" w:ascii="宋体" w:hAnsi="宋体" w:cs="宋体"/>
                <w:kern w:val="0"/>
                <w:szCs w:val="21"/>
              </w:rPr>
              <w:t>项</w:t>
            </w:r>
          </w:p>
        </w:tc>
        <w:tc>
          <w:tcPr>
            <w:tcW w:w="372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5895.43　</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3396.86　</w:t>
            </w: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2175.25</w:t>
            </w: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134"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29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323.32　</w:t>
            </w:r>
          </w:p>
        </w:tc>
      </w:tr>
      <w:tr>
        <w:tblPrEx>
          <w:tblLayout w:type="fixed"/>
          <w:tblCellMar>
            <w:top w:w="0" w:type="dxa"/>
            <w:left w:w="108" w:type="dxa"/>
            <w:bottom w:w="0" w:type="dxa"/>
            <w:right w:w="108" w:type="dxa"/>
          </w:tblCellMar>
        </w:tblPrEx>
        <w:trPr>
          <w:trHeight w:val="450" w:hRule="atLeast"/>
        </w:trPr>
        <w:tc>
          <w:tcPr>
            <w:tcW w:w="593"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205</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p>
        </w:tc>
        <w:tc>
          <w:tcPr>
            <w:tcW w:w="37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教育支出</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4.32</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4.32</w:t>
            </w: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29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r>
      <w:tr>
        <w:tblPrEx>
          <w:tblLayout w:type="fixed"/>
          <w:tblCellMar>
            <w:top w:w="0" w:type="dxa"/>
            <w:left w:w="108" w:type="dxa"/>
            <w:bottom w:w="0" w:type="dxa"/>
            <w:right w:w="108" w:type="dxa"/>
          </w:tblCellMar>
        </w:tblPrEx>
        <w:trPr>
          <w:trHeight w:val="450" w:hRule="atLeast"/>
        </w:trPr>
        <w:tc>
          <w:tcPr>
            <w:tcW w:w="593"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205</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99</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p>
        </w:tc>
        <w:tc>
          <w:tcPr>
            <w:tcW w:w="37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其它教育支出</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4.32</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4.32</w:t>
            </w: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29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r>
      <w:tr>
        <w:tblPrEx>
          <w:tblLayout w:type="fixed"/>
          <w:tblCellMar>
            <w:top w:w="0" w:type="dxa"/>
            <w:left w:w="108" w:type="dxa"/>
            <w:bottom w:w="0" w:type="dxa"/>
            <w:right w:w="108" w:type="dxa"/>
          </w:tblCellMar>
        </w:tblPrEx>
        <w:trPr>
          <w:trHeight w:val="450" w:hRule="atLeast"/>
        </w:trPr>
        <w:tc>
          <w:tcPr>
            <w:tcW w:w="593"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205</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99</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99</w:t>
            </w:r>
          </w:p>
        </w:tc>
        <w:tc>
          <w:tcPr>
            <w:tcW w:w="37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其它教育支出</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4.32</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4.32</w:t>
            </w: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29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r>
      <w:tr>
        <w:tblPrEx>
          <w:tblLayout w:type="fixed"/>
          <w:tblCellMar>
            <w:top w:w="0" w:type="dxa"/>
            <w:left w:w="108" w:type="dxa"/>
            <w:bottom w:w="0" w:type="dxa"/>
            <w:right w:w="108" w:type="dxa"/>
          </w:tblCellMar>
        </w:tblPrEx>
        <w:trPr>
          <w:trHeight w:val="450" w:hRule="atLeast"/>
        </w:trPr>
        <w:tc>
          <w:tcPr>
            <w:tcW w:w="593"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208</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p>
        </w:tc>
        <w:tc>
          <w:tcPr>
            <w:tcW w:w="37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社会保障和就业支出</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361.38　</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361.38　</w:t>
            </w: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134"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29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50" w:hRule="atLeast"/>
        </w:trPr>
        <w:tc>
          <w:tcPr>
            <w:tcW w:w="593"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208</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05</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p>
        </w:tc>
        <w:tc>
          <w:tcPr>
            <w:tcW w:w="37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行政事业单位离退休</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361.38　</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361.38　</w:t>
            </w: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134"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29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50" w:hRule="atLeast"/>
        </w:trPr>
        <w:tc>
          <w:tcPr>
            <w:tcW w:w="593"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208</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05</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02</w:t>
            </w:r>
          </w:p>
        </w:tc>
        <w:tc>
          <w:tcPr>
            <w:tcW w:w="37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事业单位离退休</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0.10</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0.10</w:t>
            </w: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29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r>
      <w:tr>
        <w:tblPrEx>
          <w:tblLayout w:type="fixed"/>
          <w:tblCellMar>
            <w:top w:w="0" w:type="dxa"/>
            <w:left w:w="108" w:type="dxa"/>
            <w:bottom w:w="0" w:type="dxa"/>
            <w:right w:w="108" w:type="dxa"/>
          </w:tblCellMar>
        </w:tblPrEx>
        <w:trPr>
          <w:trHeight w:val="450" w:hRule="atLeast"/>
        </w:trPr>
        <w:tc>
          <w:tcPr>
            <w:tcW w:w="593"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208</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05</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05</w:t>
            </w:r>
          </w:p>
        </w:tc>
        <w:tc>
          <w:tcPr>
            <w:tcW w:w="37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机关事业单位基本养老保险缴费支出</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272.26　</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272.26　</w:t>
            </w: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134"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29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50" w:hRule="atLeast"/>
        </w:trPr>
        <w:tc>
          <w:tcPr>
            <w:tcW w:w="593"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208</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05</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06</w:t>
            </w:r>
          </w:p>
        </w:tc>
        <w:tc>
          <w:tcPr>
            <w:tcW w:w="37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机关事业单位职业年金缴费支出</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89.02</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89.02</w:t>
            </w: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29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r>
      <w:tr>
        <w:tblPrEx>
          <w:tblLayout w:type="fixed"/>
          <w:tblCellMar>
            <w:top w:w="0" w:type="dxa"/>
            <w:left w:w="108" w:type="dxa"/>
            <w:bottom w:w="0" w:type="dxa"/>
            <w:right w:w="108" w:type="dxa"/>
          </w:tblCellMar>
        </w:tblPrEx>
        <w:trPr>
          <w:trHeight w:val="450" w:hRule="atLeast"/>
        </w:trPr>
        <w:tc>
          <w:tcPr>
            <w:tcW w:w="593"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210</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p>
        </w:tc>
        <w:tc>
          <w:tcPr>
            <w:tcW w:w="37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医疗卫生与计划生育支出</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5527.83</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3029.27</w:t>
            </w: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2175.25</w:t>
            </w: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29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323.32</w:t>
            </w:r>
          </w:p>
        </w:tc>
      </w:tr>
      <w:tr>
        <w:tblPrEx>
          <w:tblLayout w:type="fixed"/>
          <w:tblCellMar>
            <w:top w:w="0" w:type="dxa"/>
            <w:left w:w="108" w:type="dxa"/>
            <w:bottom w:w="0" w:type="dxa"/>
            <w:right w:w="108" w:type="dxa"/>
          </w:tblCellMar>
        </w:tblPrEx>
        <w:trPr>
          <w:trHeight w:val="450" w:hRule="atLeast"/>
        </w:trPr>
        <w:tc>
          <w:tcPr>
            <w:tcW w:w="593"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210</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03</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p>
        </w:tc>
        <w:tc>
          <w:tcPr>
            <w:tcW w:w="37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基层医疗卫生机构</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4952.90</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2454.33</w:t>
            </w: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2175.25</w:t>
            </w: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29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323.32</w:t>
            </w:r>
          </w:p>
        </w:tc>
      </w:tr>
      <w:tr>
        <w:tblPrEx>
          <w:tblLayout w:type="fixed"/>
          <w:tblCellMar>
            <w:top w:w="0" w:type="dxa"/>
            <w:left w:w="108" w:type="dxa"/>
            <w:bottom w:w="0" w:type="dxa"/>
            <w:right w:w="108" w:type="dxa"/>
          </w:tblCellMar>
        </w:tblPrEx>
        <w:trPr>
          <w:trHeight w:val="450" w:hRule="atLeast"/>
        </w:trPr>
        <w:tc>
          <w:tcPr>
            <w:tcW w:w="593"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210</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03</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01</w:t>
            </w:r>
          </w:p>
        </w:tc>
        <w:tc>
          <w:tcPr>
            <w:tcW w:w="37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城市社区卫生机构</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4948.81</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2450.24</w:t>
            </w: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2175.25</w:t>
            </w: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29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323.32</w:t>
            </w:r>
          </w:p>
        </w:tc>
      </w:tr>
      <w:tr>
        <w:tblPrEx>
          <w:tblLayout w:type="fixed"/>
          <w:tblCellMar>
            <w:top w:w="0" w:type="dxa"/>
            <w:left w:w="108" w:type="dxa"/>
            <w:bottom w:w="0" w:type="dxa"/>
            <w:right w:w="108" w:type="dxa"/>
          </w:tblCellMar>
        </w:tblPrEx>
        <w:trPr>
          <w:trHeight w:val="450" w:hRule="atLeast"/>
        </w:trPr>
        <w:tc>
          <w:tcPr>
            <w:tcW w:w="593"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210</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03</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99</w:t>
            </w:r>
          </w:p>
        </w:tc>
        <w:tc>
          <w:tcPr>
            <w:tcW w:w="37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其他基层医疗卫生机构支出</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4.09</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4.09</w:t>
            </w: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29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r>
      <w:tr>
        <w:tblPrEx>
          <w:tblLayout w:type="fixed"/>
          <w:tblCellMar>
            <w:top w:w="0" w:type="dxa"/>
            <w:left w:w="108" w:type="dxa"/>
            <w:bottom w:w="0" w:type="dxa"/>
            <w:right w:w="108" w:type="dxa"/>
          </w:tblCellMar>
        </w:tblPrEx>
        <w:trPr>
          <w:trHeight w:val="450" w:hRule="atLeast"/>
        </w:trPr>
        <w:tc>
          <w:tcPr>
            <w:tcW w:w="593"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210</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04</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p>
        </w:tc>
        <w:tc>
          <w:tcPr>
            <w:tcW w:w="37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公共卫生</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422.21　</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422.21　</w:t>
            </w: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134"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29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50" w:hRule="atLeast"/>
        </w:trPr>
        <w:tc>
          <w:tcPr>
            <w:tcW w:w="593"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210</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04</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08</w:t>
            </w:r>
          </w:p>
        </w:tc>
        <w:tc>
          <w:tcPr>
            <w:tcW w:w="37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基本公共卫生服务</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422.21　</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422.21　</w:t>
            </w: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134"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29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50" w:hRule="atLeast"/>
        </w:trPr>
        <w:tc>
          <w:tcPr>
            <w:tcW w:w="593"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210</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11</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p>
        </w:tc>
        <w:tc>
          <w:tcPr>
            <w:tcW w:w="37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行政事业单位医疗</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152.73　</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152.73　</w:t>
            </w: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134"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29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50" w:hRule="atLeast"/>
        </w:trPr>
        <w:tc>
          <w:tcPr>
            <w:tcW w:w="593"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210</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11</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02</w:t>
            </w:r>
          </w:p>
        </w:tc>
        <w:tc>
          <w:tcPr>
            <w:tcW w:w="37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事业单位医疗</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152.73</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152.73</w:t>
            </w: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29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r>
      <w:tr>
        <w:tblPrEx>
          <w:tblLayout w:type="fixed"/>
          <w:tblCellMar>
            <w:top w:w="0" w:type="dxa"/>
            <w:left w:w="108" w:type="dxa"/>
            <w:bottom w:w="0" w:type="dxa"/>
            <w:right w:w="108" w:type="dxa"/>
          </w:tblCellMar>
        </w:tblPrEx>
        <w:trPr>
          <w:trHeight w:val="450" w:hRule="atLeast"/>
        </w:trPr>
        <w:tc>
          <w:tcPr>
            <w:tcW w:w="593"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221</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p>
        </w:tc>
        <w:tc>
          <w:tcPr>
            <w:tcW w:w="37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住房保障支出</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1.89</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1.89</w:t>
            </w: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29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r>
      <w:tr>
        <w:tblPrEx>
          <w:tblLayout w:type="fixed"/>
          <w:tblCellMar>
            <w:top w:w="0" w:type="dxa"/>
            <w:left w:w="108" w:type="dxa"/>
            <w:bottom w:w="0" w:type="dxa"/>
            <w:right w:w="108" w:type="dxa"/>
          </w:tblCellMar>
        </w:tblPrEx>
        <w:trPr>
          <w:trHeight w:val="450" w:hRule="atLeast"/>
        </w:trPr>
        <w:tc>
          <w:tcPr>
            <w:tcW w:w="593"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221</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02</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p>
        </w:tc>
        <w:tc>
          <w:tcPr>
            <w:tcW w:w="37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住房改革支出</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1.89</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1.89</w:t>
            </w: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29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r>
      <w:tr>
        <w:tblPrEx>
          <w:tblLayout w:type="fixed"/>
          <w:tblCellMar>
            <w:top w:w="0" w:type="dxa"/>
            <w:left w:w="108" w:type="dxa"/>
            <w:bottom w:w="0" w:type="dxa"/>
            <w:right w:w="108" w:type="dxa"/>
          </w:tblCellMar>
        </w:tblPrEx>
        <w:trPr>
          <w:trHeight w:val="450" w:hRule="atLeast"/>
        </w:trPr>
        <w:tc>
          <w:tcPr>
            <w:tcW w:w="593"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221</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02</w:t>
            </w:r>
          </w:p>
        </w:tc>
        <w:tc>
          <w:tcPr>
            <w:tcW w:w="46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01</w:t>
            </w:r>
          </w:p>
        </w:tc>
        <w:tc>
          <w:tcPr>
            <w:tcW w:w="3729"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住房公积金</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1.89　</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1.89　</w:t>
            </w: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276"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134"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29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bl>
    <w:p>
      <w:pPr>
        <w:autoSpaceDE w:val="0"/>
        <w:autoSpaceDN w:val="0"/>
        <w:adjustRightInd w:val="0"/>
        <w:rPr>
          <w:rFonts w:ascii="宋体" w:hAnsi="宋体"/>
          <w:szCs w:val="21"/>
        </w:rPr>
      </w:pPr>
    </w:p>
    <w:p>
      <w:pPr>
        <w:autoSpaceDE w:val="0"/>
        <w:autoSpaceDN w:val="0"/>
        <w:adjustRightInd w:val="0"/>
        <w:jc w:val="center"/>
        <w:rPr>
          <w:rFonts w:ascii="宋体" w:hAnsi="宋体"/>
          <w:szCs w:val="21"/>
        </w:rPr>
      </w:pPr>
      <w:r>
        <w:rPr>
          <w:rFonts w:ascii="宋体" w:hAnsi="宋体"/>
          <w:szCs w:val="21"/>
        </w:rPr>
        <w:br w:type="page"/>
      </w:r>
      <w:r>
        <w:rPr>
          <w:rFonts w:hint="eastAsia" w:ascii="宋体" w:hAnsi="宋体"/>
          <w:szCs w:val="21"/>
        </w:rPr>
        <w:t>2018年度支出决算表</w:t>
      </w:r>
    </w:p>
    <w:p>
      <w:pPr>
        <w:autoSpaceDE w:val="0"/>
        <w:autoSpaceDN w:val="0"/>
        <w:adjustRightInd w:val="0"/>
        <w:ind w:right="360"/>
        <w:jc w:val="right"/>
        <w:rPr>
          <w:rFonts w:ascii="宋体" w:hAnsi="宋体"/>
          <w:szCs w:val="21"/>
        </w:rPr>
      </w:pPr>
      <w:r>
        <w:rPr>
          <w:rFonts w:hint="eastAsia" w:ascii="宋体" w:hAnsi="宋体"/>
          <w:szCs w:val="21"/>
        </w:rPr>
        <w:t>单位：万元</w:t>
      </w:r>
    </w:p>
    <w:tbl>
      <w:tblPr>
        <w:tblStyle w:val="11"/>
        <w:tblW w:w="14058" w:type="dxa"/>
        <w:tblInd w:w="93" w:type="dxa"/>
        <w:tblLayout w:type="fixed"/>
        <w:tblCellMar>
          <w:top w:w="0" w:type="dxa"/>
          <w:left w:w="108" w:type="dxa"/>
          <w:bottom w:w="0" w:type="dxa"/>
          <w:right w:w="108" w:type="dxa"/>
        </w:tblCellMar>
      </w:tblPr>
      <w:tblGrid>
        <w:gridCol w:w="614"/>
        <w:gridCol w:w="490"/>
        <w:gridCol w:w="489"/>
        <w:gridCol w:w="3667"/>
        <w:gridCol w:w="1418"/>
        <w:gridCol w:w="1417"/>
        <w:gridCol w:w="1559"/>
        <w:gridCol w:w="1418"/>
        <w:gridCol w:w="1559"/>
        <w:gridCol w:w="1427"/>
      </w:tblGrid>
      <w:tr>
        <w:tblPrEx>
          <w:tblLayout w:type="fixed"/>
          <w:tblCellMar>
            <w:top w:w="0" w:type="dxa"/>
            <w:left w:w="108" w:type="dxa"/>
            <w:bottom w:w="0" w:type="dxa"/>
            <w:right w:w="108" w:type="dxa"/>
          </w:tblCellMar>
        </w:tblPrEx>
        <w:trPr>
          <w:trHeight w:val="450" w:hRule="atLeast"/>
        </w:trPr>
        <w:tc>
          <w:tcPr>
            <w:tcW w:w="5260"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项目</w:t>
            </w:r>
          </w:p>
        </w:tc>
        <w:tc>
          <w:tcPr>
            <w:tcW w:w="1418"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本年支出合计</w:t>
            </w:r>
          </w:p>
        </w:tc>
        <w:tc>
          <w:tcPr>
            <w:tcW w:w="1417"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基本支出</w:t>
            </w:r>
          </w:p>
        </w:tc>
        <w:tc>
          <w:tcPr>
            <w:tcW w:w="1559"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项目支出</w:t>
            </w:r>
          </w:p>
        </w:tc>
        <w:tc>
          <w:tcPr>
            <w:tcW w:w="1418"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上缴上级支出</w:t>
            </w:r>
          </w:p>
        </w:tc>
        <w:tc>
          <w:tcPr>
            <w:tcW w:w="1559"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经营支出</w:t>
            </w:r>
          </w:p>
        </w:tc>
        <w:tc>
          <w:tcPr>
            <w:tcW w:w="1427"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对附属单位补助支出</w:t>
            </w:r>
          </w:p>
        </w:tc>
      </w:tr>
      <w:tr>
        <w:tblPrEx>
          <w:tblLayout w:type="fixed"/>
          <w:tblCellMar>
            <w:top w:w="0" w:type="dxa"/>
            <w:left w:w="108" w:type="dxa"/>
            <w:bottom w:w="0" w:type="dxa"/>
            <w:right w:w="108" w:type="dxa"/>
          </w:tblCellMar>
        </w:tblPrEx>
        <w:trPr>
          <w:trHeight w:val="450" w:hRule="atLeast"/>
        </w:trPr>
        <w:tc>
          <w:tcPr>
            <w:tcW w:w="1593" w:type="dxa"/>
            <w:gridSpan w:val="3"/>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功能分类</w:t>
            </w:r>
            <w:r>
              <w:rPr>
                <w:rFonts w:hint="eastAsia" w:ascii="宋体" w:hAnsi="宋体" w:cs="宋体"/>
                <w:kern w:val="0"/>
                <w:szCs w:val="21"/>
              </w:rPr>
              <w:br w:type="textWrapping"/>
            </w:r>
            <w:r>
              <w:rPr>
                <w:rFonts w:hint="eastAsia" w:ascii="宋体" w:hAnsi="宋体" w:cs="宋体"/>
                <w:kern w:val="0"/>
                <w:szCs w:val="21"/>
              </w:rPr>
              <w:t>科目编码</w:t>
            </w:r>
          </w:p>
        </w:tc>
        <w:tc>
          <w:tcPr>
            <w:tcW w:w="3667"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科目名称</w:t>
            </w:r>
          </w:p>
        </w:tc>
        <w:tc>
          <w:tcPr>
            <w:tcW w:w="141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p>
        </w:tc>
        <w:tc>
          <w:tcPr>
            <w:tcW w:w="14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p>
        </w:tc>
        <w:tc>
          <w:tcPr>
            <w:tcW w:w="155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p>
        </w:tc>
        <w:tc>
          <w:tcPr>
            <w:tcW w:w="141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p>
        </w:tc>
        <w:tc>
          <w:tcPr>
            <w:tcW w:w="155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p>
        </w:tc>
        <w:tc>
          <w:tcPr>
            <w:tcW w:w="142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450" w:hRule="atLeast"/>
        </w:trPr>
        <w:tc>
          <w:tcPr>
            <w:tcW w:w="1593"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p>
        </w:tc>
        <w:tc>
          <w:tcPr>
            <w:tcW w:w="3667"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p>
        </w:tc>
        <w:tc>
          <w:tcPr>
            <w:tcW w:w="141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p>
        </w:tc>
        <w:tc>
          <w:tcPr>
            <w:tcW w:w="14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p>
        </w:tc>
        <w:tc>
          <w:tcPr>
            <w:tcW w:w="155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p>
        </w:tc>
        <w:tc>
          <w:tcPr>
            <w:tcW w:w="141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p>
        </w:tc>
        <w:tc>
          <w:tcPr>
            <w:tcW w:w="155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p>
        </w:tc>
        <w:tc>
          <w:tcPr>
            <w:tcW w:w="142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450" w:hRule="atLeast"/>
        </w:trPr>
        <w:tc>
          <w:tcPr>
            <w:tcW w:w="614" w:type="dxa"/>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r>
              <w:rPr>
                <w:rFonts w:hint="eastAsia" w:ascii="宋体" w:hAnsi="宋体" w:cs="宋体"/>
                <w:kern w:val="0"/>
                <w:szCs w:val="21"/>
              </w:rPr>
              <w:t>类</w:t>
            </w:r>
          </w:p>
        </w:tc>
        <w:tc>
          <w:tcPr>
            <w:tcW w:w="490" w:type="dxa"/>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r>
              <w:rPr>
                <w:rFonts w:hint="eastAsia" w:ascii="宋体" w:hAnsi="宋体" w:cs="宋体"/>
                <w:kern w:val="0"/>
                <w:szCs w:val="21"/>
              </w:rPr>
              <w:t>款</w:t>
            </w:r>
          </w:p>
        </w:tc>
        <w:tc>
          <w:tcPr>
            <w:tcW w:w="489" w:type="dxa"/>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r>
              <w:rPr>
                <w:rFonts w:hint="eastAsia" w:ascii="宋体" w:hAnsi="宋体" w:cs="宋体"/>
                <w:kern w:val="0"/>
                <w:szCs w:val="21"/>
              </w:rPr>
              <w:t>项</w:t>
            </w:r>
          </w:p>
        </w:tc>
        <w:tc>
          <w:tcPr>
            <w:tcW w:w="3667"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5882.15　</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5448.48　</w:t>
            </w: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433.67　</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42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50" w:hRule="atLeast"/>
        </w:trPr>
        <w:tc>
          <w:tcPr>
            <w:tcW w:w="61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205</w:t>
            </w:r>
          </w:p>
        </w:tc>
        <w:tc>
          <w:tcPr>
            <w:tcW w:w="49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p>
        </w:tc>
        <w:tc>
          <w:tcPr>
            <w:tcW w:w="48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p>
        </w:tc>
        <w:tc>
          <w:tcPr>
            <w:tcW w:w="3667"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教育支出</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4.32</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4.32</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42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r>
      <w:tr>
        <w:tblPrEx>
          <w:tblLayout w:type="fixed"/>
        </w:tblPrEx>
        <w:trPr>
          <w:trHeight w:val="450" w:hRule="atLeast"/>
        </w:trPr>
        <w:tc>
          <w:tcPr>
            <w:tcW w:w="61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205</w:t>
            </w:r>
          </w:p>
        </w:tc>
        <w:tc>
          <w:tcPr>
            <w:tcW w:w="49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99</w:t>
            </w:r>
          </w:p>
        </w:tc>
        <w:tc>
          <w:tcPr>
            <w:tcW w:w="48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p>
        </w:tc>
        <w:tc>
          <w:tcPr>
            <w:tcW w:w="3667"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其它教育支出</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4.32</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4.32</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42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r>
      <w:tr>
        <w:tblPrEx>
          <w:tblLayout w:type="fixed"/>
          <w:tblCellMar>
            <w:top w:w="0" w:type="dxa"/>
            <w:left w:w="108" w:type="dxa"/>
            <w:bottom w:w="0" w:type="dxa"/>
            <w:right w:w="108" w:type="dxa"/>
          </w:tblCellMar>
        </w:tblPrEx>
        <w:trPr>
          <w:trHeight w:val="450" w:hRule="atLeast"/>
        </w:trPr>
        <w:tc>
          <w:tcPr>
            <w:tcW w:w="61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205</w:t>
            </w:r>
          </w:p>
        </w:tc>
        <w:tc>
          <w:tcPr>
            <w:tcW w:w="49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99</w:t>
            </w:r>
          </w:p>
        </w:tc>
        <w:tc>
          <w:tcPr>
            <w:tcW w:w="48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99</w:t>
            </w:r>
          </w:p>
        </w:tc>
        <w:tc>
          <w:tcPr>
            <w:tcW w:w="3667"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其它教育支出</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4.32</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4.32</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42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r>
      <w:tr>
        <w:tblPrEx>
          <w:tblLayout w:type="fixed"/>
          <w:tblCellMar>
            <w:top w:w="0" w:type="dxa"/>
            <w:left w:w="108" w:type="dxa"/>
            <w:bottom w:w="0" w:type="dxa"/>
            <w:right w:w="108" w:type="dxa"/>
          </w:tblCellMar>
        </w:tblPrEx>
        <w:trPr>
          <w:trHeight w:val="450" w:hRule="atLeast"/>
        </w:trPr>
        <w:tc>
          <w:tcPr>
            <w:tcW w:w="61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208</w:t>
            </w:r>
          </w:p>
        </w:tc>
        <w:tc>
          <w:tcPr>
            <w:tcW w:w="49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p>
        </w:tc>
        <w:tc>
          <w:tcPr>
            <w:tcW w:w="48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p>
        </w:tc>
        <w:tc>
          <w:tcPr>
            <w:tcW w:w="3667"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社会保障和就业支出</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361.38　</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361.38　</w:t>
            </w: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42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50" w:hRule="atLeast"/>
        </w:trPr>
        <w:tc>
          <w:tcPr>
            <w:tcW w:w="61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208</w:t>
            </w:r>
          </w:p>
        </w:tc>
        <w:tc>
          <w:tcPr>
            <w:tcW w:w="49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05</w:t>
            </w:r>
          </w:p>
        </w:tc>
        <w:tc>
          <w:tcPr>
            <w:tcW w:w="48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p>
        </w:tc>
        <w:tc>
          <w:tcPr>
            <w:tcW w:w="3667"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行政事业单位离退休</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361.38　</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361.38　</w:t>
            </w: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42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50" w:hRule="atLeast"/>
        </w:trPr>
        <w:tc>
          <w:tcPr>
            <w:tcW w:w="61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208</w:t>
            </w:r>
          </w:p>
        </w:tc>
        <w:tc>
          <w:tcPr>
            <w:tcW w:w="49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05</w:t>
            </w:r>
          </w:p>
        </w:tc>
        <w:tc>
          <w:tcPr>
            <w:tcW w:w="48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02</w:t>
            </w:r>
          </w:p>
        </w:tc>
        <w:tc>
          <w:tcPr>
            <w:tcW w:w="3667"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事业单位离退休</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0.10</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0.10</w:t>
            </w: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42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r>
      <w:tr>
        <w:tblPrEx>
          <w:tblLayout w:type="fixed"/>
          <w:tblCellMar>
            <w:top w:w="0" w:type="dxa"/>
            <w:left w:w="108" w:type="dxa"/>
            <w:bottom w:w="0" w:type="dxa"/>
            <w:right w:w="108" w:type="dxa"/>
          </w:tblCellMar>
        </w:tblPrEx>
        <w:trPr>
          <w:trHeight w:val="450" w:hRule="atLeast"/>
        </w:trPr>
        <w:tc>
          <w:tcPr>
            <w:tcW w:w="61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208</w:t>
            </w:r>
          </w:p>
        </w:tc>
        <w:tc>
          <w:tcPr>
            <w:tcW w:w="49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05</w:t>
            </w:r>
          </w:p>
        </w:tc>
        <w:tc>
          <w:tcPr>
            <w:tcW w:w="48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05</w:t>
            </w:r>
          </w:p>
        </w:tc>
        <w:tc>
          <w:tcPr>
            <w:tcW w:w="3667"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机关事业单位基本养老保险缴费支出</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272.26　</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272.26　</w:t>
            </w: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42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PrEx>
        <w:trPr>
          <w:trHeight w:val="450" w:hRule="atLeast"/>
        </w:trPr>
        <w:tc>
          <w:tcPr>
            <w:tcW w:w="61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208</w:t>
            </w:r>
          </w:p>
        </w:tc>
        <w:tc>
          <w:tcPr>
            <w:tcW w:w="49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05</w:t>
            </w:r>
          </w:p>
        </w:tc>
        <w:tc>
          <w:tcPr>
            <w:tcW w:w="48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06</w:t>
            </w:r>
          </w:p>
        </w:tc>
        <w:tc>
          <w:tcPr>
            <w:tcW w:w="3667"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机关事业单位职业年金缴费支出</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89.02</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89.02</w:t>
            </w: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42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r>
      <w:tr>
        <w:tblPrEx>
          <w:tblLayout w:type="fixed"/>
          <w:tblCellMar>
            <w:top w:w="0" w:type="dxa"/>
            <w:left w:w="108" w:type="dxa"/>
            <w:bottom w:w="0" w:type="dxa"/>
            <w:right w:w="108" w:type="dxa"/>
          </w:tblCellMar>
        </w:tblPrEx>
        <w:trPr>
          <w:trHeight w:val="450" w:hRule="atLeast"/>
        </w:trPr>
        <w:tc>
          <w:tcPr>
            <w:tcW w:w="61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210</w:t>
            </w:r>
          </w:p>
        </w:tc>
        <w:tc>
          <w:tcPr>
            <w:tcW w:w="49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p>
        </w:tc>
        <w:tc>
          <w:tcPr>
            <w:tcW w:w="48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p>
        </w:tc>
        <w:tc>
          <w:tcPr>
            <w:tcW w:w="3667"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医疗卫生与计划生育支出</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5514.56</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5085.21</w:t>
            </w: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429.35</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42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r>
      <w:tr>
        <w:tblPrEx>
          <w:tblLayout w:type="fixed"/>
          <w:tblCellMar>
            <w:top w:w="0" w:type="dxa"/>
            <w:left w:w="108" w:type="dxa"/>
            <w:bottom w:w="0" w:type="dxa"/>
            <w:right w:w="108" w:type="dxa"/>
          </w:tblCellMar>
        </w:tblPrEx>
        <w:trPr>
          <w:trHeight w:val="450" w:hRule="atLeast"/>
        </w:trPr>
        <w:tc>
          <w:tcPr>
            <w:tcW w:w="61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210</w:t>
            </w:r>
          </w:p>
        </w:tc>
        <w:tc>
          <w:tcPr>
            <w:tcW w:w="49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03</w:t>
            </w:r>
          </w:p>
        </w:tc>
        <w:tc>
          <w:tcPr>
            <w:tcW w:w="48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p>
        </w:tc>
        <w:tc>
          <w:tcPr>
            <w:tcW w:w="3667"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基层医疗卫生机构</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4939.63</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4542.01</w:t>
            </w: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397.62</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42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r>
      <w:tr>
        <w:tblPrEx>
          <w:tblLayout w:type="fixed"/>
          <w:tblCellMar>
            <w:top w:w="0" w:type="dxa"/>
            <w:left w:w="108" w:type="dxa"/>
            <w:bottom w:w="0" w:type="dxa"/>
            <w:right w:w="108" w:type="dxa"/>
          </w:tblCellMar>
        </w:tblPrEx>
        <w:trPr>
          <w:trHeight w:val="450" w:hRule="atLeast"/>
        </w:trPr>
        <w:tc>
          <w:tcPr>
            <w:tcW w:w="61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210</w:t>
            </w:r>
          </w:p>
        </w:tc>
        <w:tc>
          <w:tcPr>
            <w:tcW w:w="49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03</w:t>
            </w:r>
          </w:p>
        </w:tc>
        <w:tc>
          <w:tcPr>
            <w:tcW w:w="48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01</w:t>
            </w:r>
          </w:p>
        </w:tc>
        <w:tc>
          <w:tcPr>
            <w:tcW w:w="3667"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城市社区卫生机构</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4935.55</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4542.02</w:t>
            </w: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393.53</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42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r>
      <w:tr>
        <w:tblPrEx>
          <w:tblLayout w:type="fixed"/>
          <w:tblCellMar>
            <w:top w:w="0" w:type="dxa"/>
            <w:left w:w="108" w:type="dxa"/>
            <w:bottom w:w="0" w:type="dxa"/>
            <w:right w:w="108" w:type="dxa"/>
          </w:tblCellMar>
        </w:tblPrEx>
        <w:trPr>
          <w:trHeight w:val="450" w:hRule="atLeast"/>
        </w:trPr>
        <w:tc>
          <w:tcPr>
            <w:tcW w:w="61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210</w:t>
            </w:r>
          </w:p>
        </w:tc>
        <w:tc>
          <w:tcPr>
            <w:tcW w:w="49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03</w:t>
            </w:r>
          </w:p>
        </w:tc>
        <w:tc>
          <w:tcPr>
            <w:tcW w:w="48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99</w:t>
            </w:r>
          </w:p>
        </w:tc>
        <w:tc>
          <w:tcPr>
            <w:tcW w:w="3667"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其他基层医疗卫生机构支出</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4.09　</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4.09　</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42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50" w:hRule="atLeast"/>
        </w:trPr>
        <w:tc>
          <w:tcPr>
            <w:tcW w:w="61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210</w:t>
            </w:r>
          </w:p>
        </w:tc>
        <w:tc>
          <w:tcPr>
            <w:tcW w:w="49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04</w:t>
            </w:r>
          </w:p>
        </w:tc>
        <w:tc>
          <w:tcPr>
            <w:tcW w:w="48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p>
        </w:tc>
        <w:tc>
          <w:tcPr>
            <w:tcW w:w="3667"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公共卫生</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422.2　</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390.47　</w:t>
            </w: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31.73　</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42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PrEx>
        <w:trPr>
          <w:trHeight w:val="450" w:hRule="atLeast"/>
        </w:trPr>
        <w:tc>
          <w:tcPr>
            <w:tcW w:w="61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210</w:t>
            </w:r>
          </w:p>
        </w:tc>
        <w:tc>
          <w:tcPr>
            <w:tcW w:w="49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04</w:t>
            </w:r>
          </w:p>
        </w:tc>
        <w:tc>
          <w:tcPr>
            <w:tcW w:w="48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08</w:t>
            </w:r>
          </w:p>
        </w:tc>
        <w:tc>
          <w:tcPr>
            <w:tcW w:w="3667"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基本公共卫生服务</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422.2</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390.47</w:t>
            </w: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31.73</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42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r>
      <w:tr>
        <w:tblPrEx>
          <w:tblLayout w:type="fixed"/>
          <w:tblCellMar>
            <w:top w:w="0" w:type="dxa"/>
            <w:left w:w="108" w:type="dxa"/>
            <w:bottom w:w="0" w:type="dxa"/>
            <w:right w:w="108" w:type="dxa"/>
          </w:tblCellMar>
        </w:tblPrEx>
        <w:trPr>
          <w:trHeight w:val="450" w:hRule="atLeast"/>
        </w:trPr>
        <w:tc>
          <w:tcPr>
            <w:tcW w:w="61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210</w:t>
            </w:r>
          </w:p>
        </w:tc>
        <w:tc>
          <w:tcPr>
            <w:tcW w:w="49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11</w:t>
            </w:r>
          </w:p>
        </w:tc>
        <w:tc>
          <w:tcPr>
            <w:tcW w:w="48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p>
        </w:tc>
        <w:tc>
          <w:tcPr>
            <w:tcW w:w="3667"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行政事业单位医疗</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152.73　</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152.73　</w:t>
            </w: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42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50" w:hRule="atLeast"/>
        </w:trPr>
        <w:tc>
          <w:tcPr>
            <w:tcW w:w="61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210</w:t>
            </w:r>
          </w:p>
        </w:tc>
        <w:tc>
          <w:tcPr>
            <w:tcW w:w="49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11</w:t>
            </w:r>
          </w:p>
        </w:tc>
        <w:tc>
          <w:tcPr>
            <w:tcW w:w="48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02</w:t>
            </w:r>
          </w:p>
        </w:tc>
        <w:tc>
          <w:tcPr>
            <w:tcW w:w="3667"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事业单位医疗</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152.73</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152.73</w:t>
            </w: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42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r>
      <w:tr>
        <w:tblPrEx>
          <w:tblLayout w:type="fixed"/>
          <w:tblCellMar>
            <w:top w:w="0" w:type="dxa"/>
            <w:left w:w="108" w:type="dxa"/>
            <w:bottom w:w="0" w:type="dxa"/>
            <w:right w:w="108" w:type="dxa"/>
          </w:tblCellMar>
        </w:tblPrEx>
        <w:trPr>
          <w:trHeight w:val="450" w:hRule="atLeast"/>
        </w:trPr>
        <w:tc>
          <w:tcPr>
            <w:tcW w:w="61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221</w:t>
            </w:r>
          </w:p>
        </w:tc>
        <w:tc>
          <w:tcPr>
            <w:tcW w:w="49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p>
        </w:tc>
        <w:tc>
          <w:tcPr>
            <w:tcW w:w="48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p>
        </w:tc>
        <w:tc>
          <w:tcPr>
            <w:tcW w:w="3667"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住房保障支出</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1.89</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1.89</w:t>
            </w: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42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r>
      <w:tr>
        <w:tblPrEx>
          <w:tblLayout w:type="fixed"/>
          <w:tblCellMar>
            <w:top w:w="0" w:type="dxa"/>
            <w:left w:w="108" w:type="dxa"/>
            <w:bottom w:w="0" w:type="dxa"/>
            <w:right w:w="108" w:type="dxa"/>
          </w:tblCellMar>
        </w:tblPrEx>
        <w:trPr>
          <w:trHeight w:val="450" w:hRule="atLeast"/>
        </w:trPr>
        <w:tc>
          <w:tcPr>
            <w:tcW w:w="61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221</w:t>
            </w:r>
          </w:p>
        </w:tc>
        <w:tc>
          <w:tcPr>
            <w:tcW w:w="49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02</w:t>
            </w:r>
          </w:p>
        </w:tc>
        <w:tc>
          <w:tcPr>
            <w:tcW w:w="48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p>
        </w:tc>
        <w:tc>
          <w:tcPr>
            <w:tcW w:w="3667"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住房改革支出</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1.89</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1.89</w:t>
            </w: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c>
          <w:tcPr>
            <w:tcW w:w="142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p>
        </w:tc>
      </w:tr>
      <w:tr>
        <w:tblPrEx>
          <w:tblLayout w:type="fixed"/>
          <w:tblCellMar>
            <w:top w:w="0" w:type="dxa"/>
            <w:left w:w="108" w:type="dxa"/>
            <w:bottom w:w="0" w:type="dxa"/>
            <w:right w:w="108" w:type="dxa"/>
          </w:tblCellMar>
        </w:tblPrEx>
        <w:trPr>
          <w:trHeight w:val="450" w:hRule="atLeast"/>
        </w:trPr>
        <w:tc>
          <w:tcPr>
            <w:tcW w:w="61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221</w:t>
            </w:r>
          </w:p>
        </w:tc>
        <w:tc>
          <w:tcPr>
            <w:tcW w:w="49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02</w:t>
            </w:r>
          </w:p>
        </w:tc>
        <w:tc>
          <w:tcPr>
            <w:tcW w:w="48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01</w:t>
            </w:r>
          </w:p>
        </w:tc>
        <w:tc>
          <w:tcPr>
            <w:tcW w:w="3667"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住房公积金</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1.89　</w:t>
            </w:r>
          </w:p>
        </w:tc>
        <w:tc>
          <w:tcPr>
            <w:tcW w:w="141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1.89　</w:t>
            </w: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418"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559"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1427"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bl>
    <w:p>
      <w:pPr>
        <w:autoSpaceDE w:val="0"/>
        <w:autoSpaceDN w:val="0"/>
        <w:adjustRightInd w:val="0"/>
        <w:rPr>
          <w:rFonts w:ascii="宋体" w:hAnsi="宋体"/>
          <w:szCs w:val="21"/>
        </w:rPr>
      </w:pPr>
    </w:p>
    <w:p>
      <w:pPr>
        <w:autoSpaceDE w:val="0"/>
        <w:autoSpaceDN w:val="0"/>
        <w:adjustRightInd w:val="0"/>
        <w:jc w:val="center"/>
        <w:rPr>
          <w:rFonts w:ascii="宋体" w:hAnsi="宋体"/>
          <w:szCs w:val="21"/>
        </w:rPr>
        <w:sectPr>
          <w:pgSz w:w="16838" w:h="11906" w:orient="landscape"/>
          <w:pgMar w:top="1797" w:right="1440" w:bottom="1797" w:left="1440" w:header="851" w:footer="992" w:gutter="0"/>
          <w:cols w:space="425" w:num="1"/>
          <w:docGrid w:type="linesAndChars" w:linePitch="312" w:charSpace="0"/>
        </w:sectPr>
      </w:pPr>
    </w:p>
    <w:p>
      <w:pPr>
        <w:autoSpaceDE w:val="0"/>
        <w:autoSpaceDN w:val="0"/>
        <w:adjustRightInd w:val="0"/>
        <w:jc w:val="center"/>
        <w:outlineLvl w:val="0"/>
        <w:rPr>
          <w:rFonts w:ascii="宋体" w:hAnsi="宋体"/>
          <w:szCs w:val="21"/>
        </w:rPr>
      </w:pPr>
      <w:r>
        <w:rPr>
          <w:rFonts w:hint="eastAsia" w:ascii="宋体" w:hAnsi="宋体"/>
          <w:szCs w:val="21"/>
        </w:rPr>
        <w:t>2018年度财政拨款收入支出决算总表</w:t>
      </w:r>
    </w:p>
    <w:p>
      <w:pPr>
        <w:autoSpaceDE w:val="0"/>
        <w:autoSpaceDN w:val="0"/>
        <w:adjustRightInd w:val="0"/>
        <w:ind w:right="360"/>
        <w:jc w:val="right"/>
        <w:rPr>
          <w:rFonts w:ascii="宋体" w:hAnsi="宋体"/>
          <w:szCs w:val="21"/>
        </w:rPr>
      </w:pPr>
      <w:r>
        <w:rPr>
          <w:rFonts w:hint="eastAsia" w:ascii="宋体" w:hAnsi="宋体"/>
          <w:szCs w:val="21"/>
        </w:rPr>
        <w:t>单位：万元</w:t>
      </w:r>
    </w:p>
    <w:tbl>
      <w:tblPr>
        <w:tblStyle w:val="11"/>
        <w:tblW w:w="13875" w:type="dxa"/>
        <w:tblInd w:w="93" w:type="dxa"/>
        <w:tblLayout w:type="fixed"/>
        <w:tblCellMar>
          <w:top w:w="0" w:type="dxa"/>
          <w:left w:w="108" w:type="dxa"/>
          <w:bottom w:w="0" w:type="dxa"/>
          <w:right w:w="108" w:type="dxa"/>
        </w:tblCellMar>
      </w:tblPr>
      <w:tblGrid>
        <w:gridCol w:w="3883"/>
        <w:gridCol w:w="1892"/>
        <w:gridCol w:w="3126"/>
        <w:gridCol w:w="1734"/>
        <w:gridCol w:w="1620"/>
        <w:gridCol w:w="1620"/>
      </w:tblGrid>
      <w:tr>
        <w:tblPrEx>
          <w:tblLayout w:type="fixed"/>
          <w:tblCellMar>
            <w:top w:w="0" w:type="dxa"/>
            <w:left w:w="108" w:type="dxa"/>
            <w:bottom w:w="0" w:type="dxa"/>
            <w:right w:w="108" w:type="dxa"/>
          </w:tblCellMar>
        </w:tblPrEx>
        <w:trPr>
          <w:trHeight w:val="402" w:hRule="atLeast"/>
        </w:trPr>
        <w:tc>
          <w:tcPr>
            <w:tcW w:w="577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收入</w:t>
            </w:r>
          </w:p>
        </w:tc>
        <w:tc>
          <w:tcPr>
            <w:tcW w:w="8100"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支出</w:t>
            </w:r>
          </w:p>
        </w:tc>
      </w:tr>
      <w:tr>
        <w:tblPrEx>
          <w:tblLayout w:type="fixed"/>
          <w:tblCellMar>
            <w:top w:w="0" w:type="dxa"/>
            <w:left w:w="108" w:type="dxa"/>
            <w:bottom w:w="0" w:type="dxa"/>
            <w:right w:w="108" w:type="dxa"/>
          </w:tblCellMar>
        </w:tblPrEx>
        <w:trPr>
          <w:trHeight w:val="630" w:hRule="atLeast"/>
        </w:trPr>
        <w:tc>
          <w:tcPr>
            <w:tcW w:w="3883"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项目</w:t>
            </w:r>
          </w:p>
        </w:tc>
        <w:tc>
          <w:tcPr>
            <w:tcW w:w="189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决算数</w:t>
            </w:r>
          </w:p>
        </w:tc>
        <w:tc>
          <w:tcPr>
            <w:tcW w:w="312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项目</w:t>
            </w:r>
          </w:p>
        </w:tc>
        <w:tc>
          <w:tcPr>
            <w:tcW w:w="17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6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一般公共预算财政拨款</w:t>
            </w:r>
          </w:p>
        </w:tc>
        <w:tc>
          <w:tcPr>
            <w:tcW w:w="16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政府性基金预算财政拨款</w:t>
            </w:r>
          </w:p>
        </w:tc>
      </w:tr>
      <w:tr>
        <w:tblPrEx>
          <w:tblLayout w:type="fixed"/>
          <w:tblCellMar>
            <w:top w:w="0" w:type="dxa"/>
            <w:left w:w="108" w:type="dxa"/>
            <w:bottom w:w="0" w:type="dxa"/>
            <w:right w:w="108" w:type="dxa"/>
          </w:tblCellMar>
        </w:tblPrEx>
        <w:trPr>
          <w:trHeight w:val="402" w:hRule="atLeast"/>
        </w:trPr>
        <w:tc>
          <w:tcPr>
            <w:tcW w:w="388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一、一般公共预算财政拨款</w:t>
            </w:r>
          </w:p>
        </w:tc>
        <w:tc>
          <w:tcPr>
            <w:tcW w:w="189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3396.86</w:t>
            </w:r>
          </w:p>
        </w:tc>
        <w:tc>
          <w:tcPr>
            <w:tcW w:w="3126"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一、一般公共服务支出</w:t>
            </w:r>
          </w:p>
        </w:tc>
        <w:tc>
          <w:tcPr>
            <w:tcW w:w="17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02" w:hRule="atLeast"/>
        </w:trPr>
        <w:tc>
          <w:tcPr>
            <w:tcW w:w="388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二、政府性基金预算财政拨款</w:t>
            </w:r>
          </w:p>
        </w:tc>
        <w:tc>
          <w:tcPr>
            <w:tcW w:w="1892"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二、外交支出</w:t>
            </w:r>
          </w:p>
        </w:tc>
        <w:tc>
          <w:tcPr>
            <w:tcW w:w="17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02" w:hRule="atLeast"/>
        </w:trPr>
        <w:tc>
          <w:tcPr>
            <w:tcW w:w="388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三、国防支出</w:t>
            </w:r>
          </w:p>
        </w:tc>
        <w:tc>
          <w:tcPr>
            <w:tcW w:w="17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PrEx>
        <w:trPr>
          <w:trHeight w:val="402" w:hRule="atLeast"/>
        </w:trPr>
        <w:tc>
          <w:tcPr>
            <w:tcW w:w="388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四、公共安全支出</w:t>
            </w:r>
          </w:p>
        </w:tc>
        <w:tc>
          <w:tcPr>
            <w:tcW w:w="17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02" w:hRule="atLeast"/>
        </w:trPr>
        <w:tc>
          <w:tcPr>
            <w:tcW w:w="388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五、教育支出</w:t>
            </w:r>
          </w:p>
        </w:tc>
        <w:tc>
          <w:tcPr>
            <w:tcW w:w="17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4.32</w:t>
            </w:r>
          </w:p>
        </w:tc>
        <w:tc>
          <w:tcPr>
            <w:tcW w:w="16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4.32　</w:t>
            </w:r>
          </w:p>
        </w:tc>
        <w:tc>
          <w:tcPr>
            <w:tcW w:w="162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02" w:hRule="atLeast"/>
        </w:trPr>
        <w:tc>
          <w:tcPr>
            <w:tcW w:w="388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六、科学技术支出</w:t>
            </w:r>
          </w:p>
        </w:tc>
        <w:tc>
          <w:tcPr>
            <w:tcW w:w="17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02" w:hRule="atLeast"/>
        </w:trPr>
        <w:tc>
          <w:tcPr>
            <w:tcW w:w="388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七、文化体育与传媒支出</w:t>
            </w:r>
          </w:p>
        </w:tc>
        <w:tc>
          <w:tcPr>
            <w:tcW w:w="17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02" w:hRule="atLeast"/>
        </w:trPr>
        <w:tc>
          <w:tcPr>
            <w:tcW w:w="388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八、社会保障和就业支出</w:t>
            </w:r>
          </w:p>
        </w:tc>
        <w:tc>
          <w:tcPr>
            <w:tcW w:w="17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361.38　</w:t>
            </w:r>
          </w:p>
        </w:tc>
        <w:tc>
          <w:tcPr>
            <w:tcW w:w="16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361.38　</w:t>
            </w:r>
          </w:p>
        </w:tc>
        <w:tc>
          <w:tcPr>
            <w:tcW w:w="162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02" w:hRule="atLeast"/>
        </w:trPr>
        <w:tc>
          <w:tcPr>
            <w:tcW w:w="388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九、医疗卫生与计划生育支出</w:t>
            </w:r>
          </w:p>
        </w:tc>
        <w:tc>
          <w:tcPr>
            <w:tcW w:w="17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3029.27</w:t>
            </w:r>
          </w:p>
        </w:tc>
        <w:tc>
          <w:tcPr>
            <w:tcW w:w="16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3029.27</w:t>
            </w:r>
          </w:p>
        </w:tc>
        <w:tc>
          <w:tcPr>
            <w:tcW w:w="162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PrEx>
        <w:trPr>
          <w:trHeight w:val="402" w:hRule="atLeast"/>
        </w:trPr>
        <w:tc>
          <w:tcPr>
            <w:tcW w:w="388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十、节能环保支出</w:t>
            </w:r>
          </w:p>
        </w:tc>
        <w:tc>
          <w:tcPr>
            <w:tcW w:w="17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02" w:hRule="atLeast"/>
        </w:trPr>
        <w:tc>
          <w:tcPr>
            <w:tcW w:w="388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十一、城乡社区支出</w:t>
            </w:r>
          </w:p>
        </w:tc>
        <w:tc>
          <w:tcPr>
            <w:tcW w:w="17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02" w:hRule="atLeast"/>
        </w:trPr>
        <w:tc>
          <w:tcPr>
            <w:tcW w:w="388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十二、农林水支出</w:t>
            </w:r>
          </w:p>
        </w:tc>
        <w:tc>
          <w:tcPr>
            <w:tcW w:w="17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02" w:hRule="atLeast"/>
        </w:trPr>
        <w:tc>
          <w:tcPr>
            <w:tcW w:w="388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十三、交通运输支出</w:t>
            </w:r>
          </w:p>
        </w:tc>
        <w:tc>
          <w:tcPr>
            <w:tcW w:w="17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02" w:hRule="atLeast"/>
        </w:trPr>
        <w:tc>
          <w:tcPr>
            <w:tcW w:w="388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十四、资源勘探信息等支出</w:t>
            </w:r>
          </w:p>
        </w:tc>
        <w:tc>
          <w:tcPr>
            <w:tcW w:w="17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02" w:hRule="atLeast"/>
        </w:trPr>
        <w:tc>
          <w:tcPr>
            <w:tcW w:w="3883"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十五、商业服务业等支出</w:t>
            </w:r>
          </w:p>
        </w:tc>
        <w:tc>
          <w:tcPr>
            <w:tcW w:w="173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PrEx>
        <w:trPr>
          <w:trHeight w:val="402" w:hRule="atLeast"/>
        </w:trPr>
        <w:tc>
          <w:tcPr>
            <w:tcW w:w="388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tcBorders>
              <w:top w:val="single" w:color="auto" w:sz="8" w:space="0"/>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十六、金融支出</w:t>
            </w:r>
          </w:p>
        </w:tc>
        <w:tc>
          <w:tcPr>
            <w:tcW w:w="173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single" w:color="auto" w:sz="8" w:space="0"/>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02" w:hRule="atLeast"/>
        </w:trPr>
        <w:tc>
          <w:tcPr>
            <w:tcW w:w="388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tcBorders>
              <w:top w:val="single" w:color="auto" w:sz="8" w:space="0"/>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十七、援助其他地区支出</w:t>
            </w:r>
          </w:p>
        </w:tc>
        <w:tc>
          <w:tcPr>
            <w:tcW w:w="173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single" w:color="auto" w:sz="8" w:space="0"/>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02" w:hRule="atLeast"/>
        </w:trPr>
        <w:tc>
          <w:tcPr>
            <w:tcW w:w="388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tcBorders>
              <w:top w:val="single" w:color="auto" w:sz="8" w:space="0"/>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十八、国土海洋气象等支出</w:t>
            </w:r>
          </w:p>
        </w:tc>
        <w:tc>
          <w:tcPr>
            <w:tcW w:w="173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single" w:color="auto" w:sz="8" w:space="0"/>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02" w:hRule="atLeast"/>
        </w:trPr>
        <w:tc>
          <w:tcPr>
            <w:tcW w:w="388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tcBorders>
              <w:top w:val="single" w:color="auto" w:sz="8" w:space="0"/>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十九、住房保障支出</w:t>
            </w:r>
          </w:p>
        </w:tc>
        <w:tc>
          <w:tcPr>
            <w:tcW w:w="173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1.89　</w:t>
            </w:r>
          </w:p>
        </w:tc>
        <w:tc>
          <w:tcPr>
            <w:tcW w:w="162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1.89　</w:t>
            </w:r>
          </w:p>
        </w:tc>
        <w:tc>
          <w:tcPr>
            <w:tcW w:w="1620" w:type="dxa"/>
            <w:tcBorders>
              <w:top w:val="single" w:color="auto" w:sz="8" w:space="0"/>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02" w:hRule="atLeast"/>
        </w:trPr>
        <w:tc>
          <w:tcPr>
            <w:tcW w:w="388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tcBorders>
              <w:top w:val="single" w:color="auto" w:sz="8" w:space="0"/>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二十、粮油物资储备支出</w:t>
            </w:r>
          </w:p>
        </w:tc>
        <w:tc>
          <w:tcPr>
            <w:tcW w:w="173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single" w:color="auto" w:sz="8" w:space="0"/>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02" w:hRule="atLeast"/>
        </w:trPr>
        <w:tc>
          <w:tcPr>
            <w:tcW w:w="388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c>
          <w:tcPr>
            <w:tcW w:w="1892" w:type="dxa"/>
            <w:tcBorders>
              <w:top w:val="single" w:color="auto" w:sz="8" w:space="0"/>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二十一、其他支出</w:t>
            </w:r>
          </w:p>
        </w:tc>
        <w:tc>
          <w:tcPr>
            <w:tcW w:w="173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single" w:color="auto" w:sz="8" w:space="0"/>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r>
      <w:tr>
        <w:tblPrEx>
          <w:tblLayout w:type="fixed"/>
        </w:tblPrEx>
        <w:trPr>
          <w:trHeight w:val="402" w:hRule="atLeast"/>
        </w:trPr>
        <w:tc>
          <w:tcPr>
            <w:tcW w:w="388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Cs/>
                <w:kern w:val="0"/>
                <w:szCs w:val="21"/>
              </w:rPr>
            </w:pPr>
            <w:r>
              <w:rPr>
                <w:rFonts w:hint="eastAsia" w:ascii="宋体" w:hAnsi="宋体" w:cs="宋体"/>
                <w:bCs/>
                <w:kern w:val="0"/>
                <w:szCs w:val="21"/>
              </w:rPr>
              <w:t>本年收入合计</w:t>
            </w:r>
          </w:p>
        </w:tc>
        <w:tc>
          <w:tcPr>
            <w:tcW w:w="189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3396.86</w:t>
            </w:r>
          </w:p>
        </w:tc>
        <w:tc>
          <w:tcPr>
            <w:tcW w:w="3126"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宋体" w:hAnsi="宋体" w:cs="宋体"/>
                <w:bCs/>
                <w:kern w:val="0"/>
                <w:szCs w:val="21"/>
              </w:rPr>
            </w:pPr>
            <w:r>
              <w:rPr>
                <w:rFonts w:hint="eastAsia" w:ascii="宋体" w:hAnsi="宋体" w:cs="宋体"/>
                <w:bCs/>
                <w:kern w:val="0"/>
                <w:szCs w:val="21"/>
              </w:rPr>
              <w:t>本年支出合计</w:t>
            </w:r>
          </w:p>
        </w:tc>
        <w:tc>
          <w:tcPr>
            <w:tcW w:w="173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3396.86</w:t>
            </w:r>
          </w:p>
        </w:tc>
        <w:tc>
          <w:tcPr>
            <w:tcW w:w="162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3396.86</w:t>
            </w:r>
          </w:p>
        </w:tc>
        <w:tc>
          <w:tcPr>
            <w:tcW w:w="162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宋体" w:hAnsi="宋体" w:cs="宋体"/>
                <w:bCs/>
                <w:kern w:val="0"/>
                <w:szCs w:val="21"/>
              </w:rPr>
            </w:pPr>
            <w:r>
              <w:rPr>
                <w:rFonts w:hint="eastAsia" w:ascii="宋体" w:hAnsi="宋体" w:cs="宋体"/>
                <w:bCs/>
                <w:kern w:val="0"/>
                <w:szCs w:val="21"/>
              </w:rPr>
              <w:t>　</w:t>
            </w:r>
          </w:p>
        </w:tc>
      </w:tr>
      <w:tr>
        <w:tblPrEx>
          <w:tblLayout w:type="fixed"/>
          <w:tblCellMar>
            <w:top w:w="0" w:type="dxa"/>
            <w:left w:w="108" w:type="dxa"/>
            <w:bottom w:w="0" w:type="dxa"/>
            <w:right w:w="108" w:type="dxa"/>
          </w:tblCellMar>
        </w:tblPrEx>
        <w:trPr>
          <w:trHeight w:val="402" w:hRule="atLeast"/>
        </w:trPr>
        <w:tc>
          <w:tcPr>
            <w:tcW w:w="388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年初财政拨款结转和结余</w:t>
            </w:r>
          </w:p>
        </w:tc>
        <w:tc>
          <w:tcPr>
            <w:tcW w:w="1892" w:type="dxa"/>
            <w:tcBorders>
              <w:top w:val="single" w:color="auto" w:sz="8" w:space="0"/>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年末财政拨款结转和结余</w:t>
            </w:r>
          </w:p>
        </w:tc>
        <w:tc>
          <w:tcPr>
            <w:tcW w:w="173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02" w:hRule="atLeast"/>
        </w:trPr>
        <w:tc>
          <w:tcPr>
            <w:tcW w:w="388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xml:space="preserve">      一般公共预算财政拨款</w:t>
            </w:r>
          </w:p>
        </w:tc>
        <w:tc>
          <w:tcPr>
            <w:tcW w:w="1892" w:type="dxa"/>
            <w:tcBorders>
              <w:top w:val="single" w:color="auto" w:sz="8" w:space="0"/>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73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02" w:hRule="atLeast"/>
        </w:trPr>
        <w:tc>
          <w:tcPr>
            <w:tcW w:w="388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xml:space="preserve">      政府性基金预算财政拨款</w:t>
            </w:r>
          </w:p>
        </w:tc>
        <w:tc>
          <w:tcPr>
            <w:tcW w:w="1892" w:type="dxa"/>
            <w:tcBorders>
              <w:top w:val="single" w:color="auto" w:sz="8" w:space="0"/>
              <w:left w:val="nil"/>
              <w:bottom w:val="single" w:color="auto" w:sz="8" w:space="0"/>
              <w:right w:val="single" w:color="auto" w:sz="8"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　</w:t>
            </w:r>
          </w:p>
        </w:tc>
        <w:tc>
          <w:tcPr>
            <w:tcW w:w="312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73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62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02" w:hRule="atLeast"/>
        </w:trPr>
        <w:tc>
          <w:tcPr>
            <w:tcW w:w="3883"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总计</w:t>
            </w:r>
          </w:p>
        </w:tc>
        <w:tc>
          <w:tcPr>
            <w:tcW w:w="189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3396.86</w:t>
            </w:r>
          </w:p>
        </w:tc>
        <w:tc>
          <w:tcPr>
            <w:tcW w:w="312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总计</w:t>
            </w:r>
          </w:p>
        </w:tc>
        <w:tc>
          <w:tcPr>
            <w:tcW w:w="173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3396.86</w:t>
            </w:r>
          </w:p>
        </w:tc>
        <w:tc>
          <w:tcPr>
            <w:tcW w:w="162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3396.86</w:t>
            </w:r>
          </w:p>
        </w:tc>
        <w:tc>
          <w:tcPr>
            <w:tcW w:w="162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宋体" w:hAnsi="宋体" w:cs="宋体"/>
                <w:bCs/>
                <w:kern w:val="0"/>
                <w:szCs w:val="21"/>
              </w:rPr>
            </w:pPr>
            <w:r>
              <w:rPr>
                <w:rFonts w:hint="eastAsia" w:ascii="宋体" w:hAnsi="宋体" w:cs="宋体"/>
                <w:bCs/>
                <w:kern w:val="0"/>
                <w:szCs w:val="21"/>
              </w:rPr>
              <w:t>　</w:t>
            </w:r>
          </w:p>
        </w:tc>
      </w:tr>
    </w:tbl>
    <w:p>
      <w:pPr>
        <w:autoSpaceDE w:val="0"/>
        <w:autoSpaceDN w:val="0"/>
        <w:adjustRightInd w:val="0"/>
        <w:rPr>
          <w:rFonts w:ascii="宋体" w:hAnsi="宋体"/>
          <w:szCs w:val="21"/>
        </w:rPr>
      </w:pPr>
    </w:p>
    <w:p>
      <w:pPr>
        <w:autoSpaceDE w:val="0"/>
        <w:autoSpaceDN w:val="0"/>
        <w:adjustRightInd w:val="0"/>
        <w:jc w:val="center"/>
        <w:rPr>
          <w:rFonts w:ascii="宋体" w:hAnsi="宋体"/>
          <w:szCs w:val="21"/>
        </w:rPr>
        <w:sectPr>
          <w:pgSz w:w="16838" w:h="11906" w:orient="landscape"/>
          <w:pgMar w:top="1797" w:right="1440" w:bottom="1797" w:left="1440" w:header="851" w:footer="992" w:gutter="0"/>
          <w:cols w:space="425" w:num="1"/>
          <w:docGrid w:linePitch="312" w:charSpace="0"/>
        </w:sectPr>
      </w:pPr>
    </w:p>
    <w:p>
      <w:pPr>
        <w:autoSpaceDE w:val="0"/>
        <w:autoSpaceDN w:val="0"/>
        <w:adjustRightInd w:val="0"/>
        <w:jc w:val="center"/>
        <w:outlineLvl w:val="0"/>
        <w:rPr>
          <w:rFonts w:ascii="宋体" w:hAnsi="宋体"/>
          <w:szCs w:val="21"/>
        </w:rPr>
      </w:pPr>
      <w:r>
        <w:rPr>
          <w:rFonts w:hint="eastAsia" w:ascii="宋体" w:hAnsi="宋体"/>
          <w:szCs w:val="21"/>
        </w:rPr>
        <w:t>2018年度一般公共预算财政拨款支出决算表</w:t>
      </w:r>
    </w:p>
    <w:p>
      <w:pPr>
        <w:autoSpaceDE w:val="0"/>
        <w:autoSpaceDN w:val="0"/>
        <w:adjustRightInd w:val="0"/>
        <w:ind w:right="360"/>
        <w:jc w:val="right"/>
        <w:rPr>
          <w:rFonts w:ascii="宋体" w:hAnsi="宋体"/>
          <w:szCs w:val="21"/>
        </w:rPr>
      </w:pPr>
      <w:r>
        <w:rPr>
          <w:rFonts w:hint="eastAsia" w:ascii="宋体" w:hAnsi="宋体"/>
          <w:szCs w:val="21"/>
        </w:rPr>
        <w:t>单位：万元</w:t>
      </w:r>
    </w:p>
    <w:tbl>
      <w:tblPr>
        <w:tblStyle w:val="11"/>
        <w:tblW w:w="8928" w:type="dxa"/>
        <w:jc w:val="center"/>
        <w:tblInd w:w="-133" w:type="dxa"/>
        <w:tblLayout w:type="fixed"/>
        <w:tblCellMar>
          <w:top w:w="0" w:type="dxa"/>
          <w:left w:w="108" w:type="dxa"/>
          <w:bottom w:w="0" w:type="dxa"/>
          <w:right w:w="108" w:type="dxa"/>
        </w:tblCellMar>
      </w:tblPr>
      <w:tblGrid>
        <w:gridCol w:w="576"/>
        <w:gridCol w:w="443"/>
        <w:gridCol w:w="443"/>
        <w:gridCol w:w="3639"/>
        <w:gridCol w:w="1275"/>
        <w:gridCol w:w="1303"/>
        <w:gridCol w:w="1249"/>
      </w:tblGrid>
      <w:tr>
        <w:tblPrEx>
          <w:tblLayout w:type="fixed"/>
          <w:tblCellMar>
            <w:top w:w="0" w:type="dxa"/>
            <w:left w:w="108" w:type="dxa"/>
            <w:bottom w:w="0" w:type="dxa"/>
            <w:right w:w="108" w:type="dxa"/>
          </w:tblCellMar>
        </w:tblPrEx>
        <w:trPr>
          <w:trHeight w:val="480" w:hRule="atLeast"/>
          <w:jc w:val="center"/>
        </w:trPr>
        <w:tc>
          <w:tcPr>
            <w:tcW w:w="510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项目</w:t>
            </w:r>
          </w:p>
        </w:tc>
        <w:tc>
          <w:tcPr>
            <w:tcW w:w="1275" w:type="dxa"/>
            <w:vMerge w:val="restart"/>
            <w:tcBorders>
              <w:top w:val="single" w:color="auto" w:sz="4" w:space="0"/>
              <w:left w:val="nil"/>
              <w:right w:val="single" w:color="auto" w:sz="4" w:space="0"/>
            </w:tcBorders>
            <w:vAlign w:val="center"/>
          </w:tcPr>
          <w:p>
            <w:pPr>
              <w:widowControl/>
              <w:jc w:val="center"/>
              <w:rPr>
                <w:rFonts w:ascii="宋体" w:hAnsi="宋体"/>
                <w:szCs w:val="21"/>
              </w:rPr>
            </w:pPr>
            <w:r>
              <w:rPr>
                <w:rFonts w:hint="eastAsia" w:ascii="宋体" w:hAnsi="宋体"/>
                <w:szCs w:val="21"/>
              </w:rPr>
              <w:t>合计</w:t>
            </w:r>
          </w:p>
        </w:tc>
        <w:tc>
          <w:tcPr>
            <w:tcW w:w="1303" w:type="dxa"/>
            <w:vMerge w:val="restart"/>
            <w:tcBorders>
              <w:top w:val="single" w:color="auto" w:sz="4" w:space="0"/>
              <w:left w:val="nil"/>
              <w:right w:val="single" w:color="auto" w:sz="4" w:space="0"/>
            </w:tcBorders>
            <w:vAlign w:val="center"/>
          </w:tcPr>
          <w:p>
            <w:pPr>
              <w:widowControl/>
              <w:jc w:val="center"/>
              <w:rPr>
                <w:rFonts w:ascii="宋体" w:hAnsi="宋体"/>
                <w:szCs w:val="21"/>
              </w:rPr>
            </w:pPr>
            <w:r>
              <w:rPr>
                <w:rFonts w:hint="eastAsia" w:ascii="宋体" w:hAnsi="宋体"/>
                <w:szCs w:val="21"/>
              </w:rPr>
              <w:t>基本支出</w:t>
            </w:r>
          </w:p>
        </w:tc>
        <w:tc>
          <w:tcPr>
            <w:tcW w:w="1249" w:type="dxa"/>
            <w:vMerge w:val="restart"/>
            <w:tcBorders>
              <w:top w:val="single" w:color="auto" w:sz="4" w:space="0"/>
              <w:left w:val="nil"/>
              <w:right w:val="single" w:color="auto" w:sz="4" w:space="0"/>
            </w:tcBorders>
            <w:vAlign w:val="center"/>
          </w:tcPr>
          <w:p>
            <w:pPr>
              <w:jc w:val="center"/>
              <w:rPr>
                <w:rFonts w:ascii="宋体" w:hAnsi="宋体"/>
                <w:szCs w:val="21"/>
              </w:rPr>
            </w:pPr>
            <w:r>
              <w:rPr>
                <w:rFonts w:hint="eastAsia" w:ascii="宋体" w:hAnsi="宋体"/>
                <w:szCs w:val="21"/>
              </w:rPr>
              <w:t>项目支出</w:t>
            </w:r>
          </w:p>
        </w:tc>
      </w:tr>
      <w:tr>
        <w:tblPrEx>
          <w:tblLayout w:type="fixed"/>
          <w:tblCellMar>
            <w:top w:w="0" w:type="dxa"/>
            <w:left w:w="108" w:type="dxa"/>
            <w:bottom w:w="0" w:type="dxa"/>
            <w:right w:w="108" w:type="dxa"/>
          </w:tblCellMar>
        </w:tblPrEx>
        <w:trPr>
          <w:trHeight w:val="480" w:hRule="atLeast"/>
          <w:jc w:val="center"/>
        </w:trPr>
        <w:tc>
          <w:tcPr>
            <w:tcW w:w="146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功能分类</w:t>
            </w:r>
          </w:p>
          <w:p>
            <w:pPr>
              <w:widowControl/>
              <w:jc w:val="center"/>
              <w:rPr>
                <w:rFonts w:ascii="宋体" w:hAnsi="宋体"/>
                <w:szCs w:val="21"/>
              </w:rPr>
            </w:pPr>
            <w:r>
              <w:rPr>
                <w:rFonts w:hint="eastAsia" w:ascii="宋体" w:hAnsi="宋体"/>
                <w:szCs w:val="21"/>
              </w:rPr>
              <w:t>科目编码</w:t>
            </w:r>
          </w:p>
        </w:tc>
        <w:tc>
          <w:tcPr>
            <w:tcW w:w="363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科目名称</w:t>
            </w:r>
          </w:p>
        </w:tc>
        <w:tc>
          <w:tcPr>
            <w:tcW w:w="1275" w:type="dxa"/>
            <w:vMerge w:val="continue"/>
            <w:tcBorders>
              <w:left w:val="single" w:color="auto" w:sz="4" w:space="0"/>
              <w:right w:val="single" w:color="auto" w:sz="4" w:space="0"/>
            </w:tcBorders>
            <w:vAlign w:val="center"/>
          </w:tcPr>
          <w:p>
            <w:pPr>
              <w:widowControl/>
              <w:jc w:val="center"/>
              <w:rPr>
                <w:rFonts w:ascii="宋体" w:hAnsi="宋体"/>
                <w:szCs w:val="21"/>
              </w:rPr>
            </w:pPr>
          </w:p>
        </w:tc>
        <w:tc>
          <w:tcPr>
            <w:tcW w:w="1303" w:type="dxa"/>
            <w:vMerge w:val="continue"/>
            <w:tcBorders>
              <w:left w:val="single" w:color="auto" w:sz="4" w:space="0"/>
              <w:right w:val="single" w:color="auto" w:sz="4" w:space="0"/>
            </w:tcBorders>
            <w:vAlign w:val="center"/>
          </w:tcPr>
          <w:p>
            <w:pPr>
              <w:widowControl/>
              <w:jc w:val="center"/>
              <w:rPr>
                <w:rFonts w:ascii="宋体" w:hAnsi="宋体"/>
                <w:szCs w:val="21"/>
              </w:rPr>
            </w:pPr>
          </w:p>
        </w:tc>
        <w:tc>
          <w:tcPr>
            <w:tcW w:w="1249" w:type="dxa"/>
            <w:vMerge w:val="continue"/>
            <w:tcBorders>
              <w:left w:val="single" w:color="auto" w:sz="4" w:space="0"/>
              <w:right w:val="single" w:color="auto" w:sz="4" w:space="0"/>
            </w:tcBorders>
            <w:vAlign w:val="center"/>
          </w:tcPr>
          <w:p>
            <w:pPr>
              <w:widowControl/>
              <w:jc w:val="center"/>
              <w:rPr>
                <w:rFonts w:ascii="宋体" w:hAnsi="宋体"/>
                <w:szCs w:val="21"/>
              </w:rPr>
            </w:pPr>
          </w:p>
        </w:tc>
      </w:tr>
      <w:tr>
        <w:tblPrEx>
          <w:tblLayout w:type="fixed"/>
          <w:tblCellMar>
            <w:top w:w="0" w:type="dxa"/>
            <w:left w:w="108" w:type="dxa"/>
            <w:bottom w:w="0" w:type="dxa"/>
            <w:right w:w="108" w:type="dxa"/>
          </w:tblCellMar>
        </w:tblPrEx>
        <w:trPr>
          <w:trHeight w:val="480" w:hRule="atLeast"/>
          <w:jc w:val="center"/>
        </w:trPr>
        <w:tc>
          <w:tcPr>
            <w:tcW w:w="576" w:type="dxa"/>
            <w:tcBorders>
              <w:top w:val="nil"/>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类</w:t>
            </w:r>
          </w:p>
        </w:tc>
        <w:tc>
          <w:tcPr>
            <w:tcW w:w="443"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款</w:t>
            </w:r>
          </w:p>
        </w:tc>
        <w:tc>
          <w:tcPr>
            <w:tcW w:w="443"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项</w:t>
            </w:r>
          </w:p>
        </w:tc>
        <w:tc>
          <w:tcPr>
            <w:tcW w:w="3639" w:type="dxa"/>
            <w:vMerge w:val="continue"/>
            <w:tcBorders>
              <w:top w:val="nil"/>
              <w:left w:val="single" w:color="auto" w:sz="4" w:space="0"/>
              <w:bottom w:val="single" w:color="auto" w:sz="4" w:space="0"/>
              <w:right w:val="single" w:color="auto" w:sz="4" w:space="0"/>
            </w:tcBorders>
            <w:vAlign w:val="center"/>
          </w:tcPr>
          <w:p>
            <w:pPr>
              <w:widowControl/>
              <w:rPr>
                <w:rFonts w:ascii="宋体" w:hAnsi="宋体"/>
                <w:szCs w:val="21"/>
              </w:rPr>
            </w:pPr>
          </w:p>
        </w:tc>
        <w:tc>
          <w:tcPr>
            <w:tcW w:w="1275" w:type="dxa"/>
            <w:vMerge w:val="continue"/>
            <w:tcBorders>
              <w:left w:val="single" w:color="auto" w:sz="4" w:space="0"/>
              <w:bottom w:val="single" w:color="auto" w:sz="4" w:space="0"/>
              <w:right w:val="single" w:color="auto" w:sz="4" w:space="0"/>
            </w:tcBorders>
            <w:vAlign w:val="center"/>
          </w:tcPr>
          <w:p>
            <w:pPr>
              <w:widowControl/>
              <w:rPr>
                <w:rFonts w:ascii="宋体" w:hAnsi="宋体"/>
                <w:szCs w:val="21"/>
              </w:rPr>
            </w:pPr>
          </w:p>
        </w:tc>
        <w:tc>
          <w:tcPr>
            <w:tcW w:w="1303" w:type="dxa"/>
            <w:vMerge w:val="continue"/>
            <w:tcBorders>
              <w:left w:val="single" w:color="auto" w:sz="4" w:space="0"/>
              <w:bottom w:val="single" w:color="auto" w:sz="4" w:space="0"/>
              <w:right w:val="single" w:color="auto" w:sz="4" w:space="0"/>
            </w:tcBorders>
            <w:vAlign w:val="center"/>
          </w:tcPr>
          <w:p>
            <w:pPr>
              <w:widowControl/>
              <w:rPr>
                <w:rFonts w:ascii="宋体" w:hAnsi="宋体"/>
                <w:szCs w:val="21"/>
              </w:rPr>
            </w:pPr>
          </w:p>
        </w:tc>
        <w:tc>
          <w:tcPr>
            <w:tcW w:w="1249" w:type="dxa"/>
            <w:vMerge w:val="continue"/>
            <w:tcBorders>
              <w:left w:val="single" w:color="auto" w:sz="4" w:space="0"/>
              <w:bottom w:val="single" w:color="auto" w:sz="4" w:space="0"/>
              <w:right w:val="single" w:color="auto"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480" w:hRule="atLeast"/>
          <w:jc w:val="center"/>
        </w:trPr>
        <w:tc>
          <w:tcPr>
            <w:tcW w:w="57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205</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363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教育支出</w:t>
            </w:r>
          </w:p>
        </w:tc>
        <w:tc>
          <w:tcPr>
            <w:tcW w:w="1275"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4.32</w:t>
            </w:r>
          </w:p>
        </w:tc>
        <w:tc>
          <w:tcPr>
            <w:tcW w:w="1303" w:type="dxa"/>
            <w:tcBorders>
              <w:top w:val="nil"/>
              <w:left w:val="nil"/>
              <w:bottom w:val="single" w:color="auto" w:sz="4" w:space="0"/>
              <w:right w:val="single" w:color="auto" w:sz="4" w:space="0"/>
            </w:tcBorders>
            <w:vAlign w:val="center"/>
          </w:tcPr>
          <w:p>
            <w:pPr>
              <w:widowControl/>
              <w:jc w:val="center"/>
              <w:rPr>
                <w:rFonts w:ascii="宋体" w:hAnsi="宋体"/>
                <w:szCs w:val="21"/>
              </w:rPr>
            </w:pPr>
          </w:p>
        </w:tc>
        <w:tc>
          <w:tcPr>
            <w:tcW w:w="1249" w:type="dxa"/>
            <w:tcBorders>
              <w:top w:val="nil"/>
              <w:left w:val="nil"/>
              <w:bottom w:val="single" w:color="auto" w:sz="4" w:space="0"/>
              <w:right w:val="single" w:color="auto" w:sz="4" w:space="0"/>
            </w:tcBorders>
            <w:vAlign w:val="center"/>
          </w:tcPr>
          <w:p>
            <w:pPr>
              <w:widowControl/>
              <w:ind w:firstLine="210" w:firstLineChars="100"/>
              <w:rPr>
                <w:rFonts w:ascii="宋体" w:hAnsi="宋体"/>
                <w:szCs w:val="21"/>
              </w:rPr>
            </w:pPr>
            <w:r>
              <w:rPr>
                <w:rFonts w:hint="eastAsia" w:ascii="宋体" w:hAnsi="宋体"/>
                <w:szCs w:val="21"/>
              </w:rPr>
              <w:t>4.32</w:t>
            </w:r>
          </w:p>
        </w:tc>
      </w:tr>
      <w:tr>
        <w:tblPrEx>
          <w:tblLayout w:type="fixed"/>
          <w:tblCellMar>
            <w:top w:w="0" w:type="dxa"/>
            <w:left w:w="108" w:type="dxa"/>
            <w:bottom w:w="0" w:type="dxa"/>
            <w:right w:w="108" w:type="dxa"/>
          </w:tblCellMar>
        </w:tblPrEx>
        <w:trPr>
          <w:trHeight w:val="480" w:hRule="atLeast"/>
          <w:jc w:val="center"/>
        </w:trPr>
        <w:tc>
          <w:tcPr>
            <w:tcW w:w="57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205</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99</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363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其他教育支出</w:t>
            </w:r>
          </w:p>
        </w:tc>
        <w:tc>
          <w:tcPr>
            <w:tcW w:w="1275"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4.32</w:t>
            </w:r>
          </w:p>
        </w:tc>
        <w:tc>
          <w:tcPr>
            <w:tcW w:w="1303" w:type="dxa"/>
            <w:tcBorders>
              <w:top w:val="nil"/>
              <w:left w:val="nil"/>
              <w:bottom w:val="single" w:color="auto" w:sz="4" w:space="0"/>
              <w:right w:val="single" w:color="auto" w:sz="4" w:space="0"/>
            </w:tcBorders>
            <w:vAlign w:val="center"/>
          </w:tcPr>
          <w:p>
            <w:pPr>
              <w:widowControl/>
              <w:jc w:val="center"/>
              <w:rPr>
                <w:rFonts w:ascii="宋体" w:hAnsi="宋体"/>
                <w:szCs w:val="21"/>
              </w:rPr>
            </w:pPr>
          </w:p>
        </w:tc>
        <w:tc>
          <w:tcPr>
            <w:tcW w:w="1249" w:type="dxa"/>
            <w:tcBorders>
              <w:top w:val="nil"/>
              <w:left w:val="nil"/>
              <w:bottom w:val="single" w:color="auto" w:sz="4" w:space="0"/>
              <w:right w:val="single" w:color="auto" w:sz="4" w:space="0"/>
            </w:tcBorders>
            <w:vAlign w:val="center"/>
          </w:tcPr>
          <w:p>
            <w:pPr>
              <w:widowControl/>
              <w:ind w:firstLine="210" w:firstLineChars="100"/>
              <w:rPr>
                <w:rFonts w:ascii="宋体" w:hAnsi="宋体"/>
                <w:szCs w:val="21"/>
              </w:rPr>
            </w:pPr>
            <w:r>
              <w:rPr>
                <w:rFonts w:hint="eastAsia" w:ascii="宋体" w:hAnsi="宋体"/>
                <w:szCs w:val="21"/>
              </w:rPr>
              <w:t>4.32</w:t>
            </w:r>
          </w:p>
        </w:tc>
      </w:tr>
      <w:tr>
        <w:tblPrEx>
          <w:tblLayout w:type="fixed"/>
        </w:tblPrEx>
        <w:trPr>
          <w:trHeight w:val="480" w:hRule="atLeast"/>
          <w:jc w:val="center"/>
        </w:trPr>
        <w:tc>
          <w:tcPr>
            <w:tcW w:w="57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205</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99</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99</w:t>
            </w:r>
          </w:p>
        </w:tc>
        <w:tc>
          <w:tcPr>
            <w:tcW w:w="363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其他教育支出</w:t>
            </w:r>
          </w:p>
        </w:tc>
        <w:tc>
          <w:tcPr>
            <w:tcW w:w="1275"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4.32</w:t>
            </w:r>
          </w:p>
        </w:tc>
        <w:tc>
          <w:tcPr>
            <w:tcW w:w="1303" w:type="dxa"/>
            <w:tcBorders>
              <w:top w:val="nil"/>
              <w:left w:val="nil"/>
              <w:bottom w:val="single" w:color="auto" w:sz="4" w:space="0"/>
              <w:right w:val="single" w:color="auto" w:sz="4" w:space="0"/>
            </w:tcBorders>
            <w:vAlign w:val="center"/>
          </w:tcPr>
          <w:p>
            <w:pPr>
              <w:widowControl/>
              <w:jc w:val="center"/>
              <w:rPr>
                <w:rFonts w:ascii="宋体" w:hAnsi="宋体"/>
                <w:szCs w:val="21"/>
              </w:rPr>
            </w:pPr>
          </w:p>
        </w:tc>
        <w:tc>
          <w:tcPr>
            <w:tcW w:w="1249" w:type="dxa"/>
            <w:tcBorders>
              <w:top w:val="nil"/>
              <w:left w:val="nil"/>
              <w:bottom w:val="single" w:color="auto" w:sz="4" w:space="0"/>
              <w:right w:val="single" w:color="auto" w:sz="4" w:space="0"/>
            </w:tcBorders>
            <w:vAlign w:val="center"/>
          </w:tcPr>
          <w:p>
            <w:pPr>
              <w:widowControl/>
              <w:ind w:firstLine="210" w:firstLineChars="100"/>
              <w:rPr>
                <w:rFonts w:ascii="宋体" w:hAnsi="宋体"/>
                <w:szCs w:val="21"/>
              </w:rPr>
            </w:pPr>
            <w:r>
              <w:rPr>
                <w:rFonts w:hint="eastAsia" w:ascii="宋体" w:hAnsi="宋体"/>
                <w:szCs w:val="21"/>
              </w:rPr>
              <w:t>4.32</w:t>
            </w:r>
          </w:p>
        </w:tc>
      </w:tr>
      <w:tr>
        <w:tblPrEx>
          <w:tblLayout w:type="fixed"/>
          <w:tblCellMar>
            <w:top w:w="0" w:type="dxa"/>
            <w:left w:w="108" w:type="dxa"/>
            <w:bottom w:w="0" w:type="dxa"/>
            <w:right w:w="108" w:type="dxa"/>
          </w:tblCellMar>
        </w:tblPrEx>
        <w:trPr>
          <w:trHeight w:val="480" w:hRule="atLeast"/>
          <w:jc w:val="center"/>
        </w:trPr>
        <w:tc>
          <w:tcPr>
            <w:tcW w:w="57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208</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363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社会保障和就业支出</w:t>
            </w:r>
          </w:p>
        </w:tc>
        <w:tc>
          <w:tcPr>
            <w:tcW w:w="1275"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361.38</w:t>
            </w:r>
          </w:p>
        </w:tc>
        <w:tc>
          <w:tcPr>
            <w:tcW w:w="1303"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361.38</w:t>
            </w:r>
          </w:p>
        </w:tc>
        <w:tc>
          <w:tcPr>
            <w:tcW w:w="1249" w:type="dxa"/>
            <w:tcBorders>
              <w:top w:val="nil"/>
              <w:left w:val="nil"/>
              <w:bottom w:val="single" w:color="auto" w:sz="4" w:space="0"/>
              <w:right w:val="single" w:color="auto"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480" w:hRule="atLeast"/>
          <w:jc w:val="center"/>
        </w:trPr>
        <w:tc>
          <w:tcPr>
            <w:tcW w:w="57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208</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05</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363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行政事业单位离退休</w:t>
            </w:r>
          </w:p>
        </w:tc>
        <w:tc>
          <w:tcPr>
            <w:tcW w:w="1275"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361.38</w:t>
            </w:r>
          </w:p>
        </w:tc>
        <w:tc>
          <w:tcPr>
            <w:tcW w:w="1303"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361.38</w:t>
            </w:r>
          </w:p>
        </w:tc>
        <w:tc>
          <w:tcPr>
            <w:tcW w:w="1249" w:type="dxa"/>
            <w:tcBorders>
              <w:top w:val="nil"/>
              <w:left w:val="nil"/>
              <w:bottom w:val="single" w:color="auto" w:sz="4" w:space="0"/>
              <w:right w:val="single" w:color="auto"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480" w:hRule="atLeast"/>
          <w:jc w:val="center"/>
        </w:trPr>
        <w:tc>
          <w:tcPr>
            <w:tcW w:w="57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208</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05</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02</w:t>
            </w:r>
          </w:p>
        </w:tc>
        <w:tc>
          <w:tcPr>
            <w:tcW w:w="363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事业单位离退休</w:t>
            </w:r>
          </w:p>
        </w:tc>
        <w:tc>
          <w:tcPr>
            <w:tcW w:w="1275"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0.10</w:t>
            </w:r>
          </w:p>
        </w:tc>
        <w:tc>
          <w:tcPr>
            <w:tcW w:w="1303"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0.10</w:t>
            </w:r>
          </w:p>
        </w:tc>
        <w:tc>
          <w:tcPr>
            <w:tcW w:w="1249" w:type="dxa"/>
            <w:tcBorders>
              <w:top w:val="nil"/>
              <w:left w:val="nil"/>
              <w:bottom w:val="single" w:color="auto" w:sz="4" w:space="0"/>
              <w:right w:val="single" w:color="auto"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480" w:hRule="atLeast"/>
          <w:jc w:val="center"/>
        </w:trPr>
        <w:tc>
          <w:tcPr>
            <w:tcW w:w="57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208</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05</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05</w:t>
            </w:r>
          </w:p>
        </w:tc>
        <w:tc>
          <w:tcPr>
            <w:tcW w:w="363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机关事业单位基本养老保险缴费支出</w:t>
            </w:r>
          </w:p>
        </w:tc>
        <w:tc>
          <w:tcPr>
            <w:tcW w:w="1275"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272.26</w:t>
            </w:r>
          </w:p>
        </w:tc>
        <w:tc>
          <w:tcPr>
            <w:tcW w:w="1303"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272.26</w:t>
            </w:r>
          </w:p>
        </w:tc>
        <w:tc>
          <w:tcPr>
            <w:tcW w:w="1249" w:type="dxa"/>
            <w:tcBorders>
              <w:top w:val="nil"/>
              <w:left w:val="nil"/>
              <w:bottom w:val="single" w:color="auto" w:sz="4" w:space="0"/>
              <w:right w:val="single" w:color="auto"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480" w:hRule="atLeast"/>
          <w:jc w:val="center"/>
        </w:trPr>
        <w:tc>
          <w:tcPr>
            <w:tcW w:w="57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208</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05</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06</w:t>
            </w:r>
          </w:p>
        </w:tc>
        <w:tc>
          <w:tcPr>
            <w:tcW w:w="363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机关事业单位职业年金缴费支出</w:t>
            </w:r>
          </w:p>
        </w:tc>
        <w:tc>
          <w:tcPr>
            <w:tcW w:w="1275"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89.02</w:t>
            </w:r>
          </w:p>
        </w:tc>
        <w:tc>
          <w:tcPr>
            <w:tcW w:w="1303"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89.02</w:t>
            </w:r>
          </w:p>
        </w:tc>
        <w:tc>
          <w:tcPr>
            <w:tcW w:w="1249" w:type="dxa"/>
            <w:tcBorders>
              <w:top w:val="nil"/>
              <w:left w:val="nil"/>
              <w:bottom w:val="single" w:color="auto" w:sz="4" w:space="0"/>
              <w:right w:val="single" w:color="auto"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480" w:hRule="atLeast"/>
          <w:jc w:val="center"/>
        </w:trPr>
        <w:tc>
          <w:tcPr>
            <w:tcW w:w="57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210</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363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医疗卫生与计划生育支出</w:t>
            </w:r>
          </w:p>
        </w:tc>
        <w:tc>
          <w:tcPr>
            <w:tcW w:w="1275"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3029.27</w:t>
            </w:r>
          </w:p>
        </w:tc>
        <w:tc>
          <w:tcPr>
            <w:tcW w:w="1303"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2599.92</w:t>
            </w:r>
          </w:p>
        </w:tc>
        <w:tc>
          <w:tcPr>
            <w:tcW w:w="124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429.35</w:t>
            </w:r>
          </w:p>
        </w:tc>
      </w:tr>
      <w:tr>
        <w:tblPrEx>
          <w:tblLayout w:type="fixed"/>
          <w:tblCellMar>
            <w:top w:w="0" w:type="dxa"/>
            <w:left w:w="108" w:type="dxa"/>
            <w:bottom w:w="0" w:type="dxa"/>
            <w:right w:w="108" w:type="dxa"/>
          </w:tblCellMar>
        </w:tblPrEx>
        <w:trPr>
          <w:trHeight w:val="480" w:hRule="atLeast"/>
          <w:jc w:val="center"/>
        </w:trPr>
        <w:tc>
          <w:tcPr>
            <w:tcW w:w="57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210</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03</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363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基层医疗卫生机构</w:t>
            </w:r>
          </w:p>
        </w:tc>
        <w:tc>
          <w:tcPr>
            <w:tcW w:w="1275"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2454.33</w:t>
            </w:r>
          </w:p>
        </w:tc>
        <w:tc>
          <w:tcPr>
            <w:tcW w:w="1303"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2056.71</w:t>
            </w:r>
          </w:p>
        </w:tc>
        <w:tc>
          <w:tcPr>
            <w:tcW w:w="124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397.62</w:t>
            </w:r>
          </w:p>
        </w:tc>
      </w:tr>
      <w:tr>
        <w:tblPrEx>
          <w:tblLayout w:type="fixed"/>
          <w:tblCellMar>
            <w:top w:w="0" w:type="dxa"/>
            <w:left w:w="108" w:type="dxa"/>
            <w:bottom w:w="0" w:type="dxa"/>
            <w:right w:w="108" w:type="dxa"/>
          </w:tblCellMar>
        </w:tblPrEx>
        <w:trPr>
          <w:trHeight w:val="480" w:hRule="atLeast"/>
          <w:jc w:val="center"/>
        </w:trPr>
        <w:tc>
          <w:tcPr>
            <w:tcW w:w="57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210</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03</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01</w:t>
            </w:r>
          </w:p>
        </w:tc>
        <w:tc>
          <w:tcPr>
            <w:tcW w:w="363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城市社区卫生机构</w:t>
            </w:r>
          </w:p>
        </w:tc>
        <w:tc>
          <w:tcPr>
            <w:tcW w:w="1275"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2450.24</w:t>
            </w:r>
          </w:p>
        </w:tc>
        <w:tc>
          <w:tcPr>
            <w:tcW w:w="1303"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2056.71</w:t>
            </w:r>
          </w:p>
        </w:tc>
        <w:tc>
          <w:tcPr>
            <w:tcW w:w="124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393.53</w:t>
            </w:r>
          </w:p>
        </w:tc>
      </w:tr>
      <w:tr>
        <w:tblPrEx>
          <w:tblLayout w:type="fixed"/>
          <w:tblCellMar>
            <w:top w:w="0" w:type="dxa"/>
            <w:left w:w="108" w:type="dxa"/>
            <w:bottom w:w="0" w:type="dxa"/>
            <w:right w:w="108" w:type="dxa"/>
          </w:tblCellMar>
        </w:tblPrEx>
        <w:trPr>
          <w:trHeight w:val="480" w:hRule="atLeast"/>
          <w:jc w:val="center"/>
        </w:trPr>
        <w:tc>
          <w:tcPr>
            <w:tcW w:w="57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210</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03</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99</w:t>
            </w:r>
          </w:p>
        </w:tc>
        <w:tc>
          <w:tcPr>
            <w:tcW w:w="363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其他基层医疗卫生机构支出</w:t>
            </w:r>
          </w:p>
        </w:tc>
        <w:tc>
          <w:tcPr>
            <w:tcW w:w="1275"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4.09</w:t>
            </w:r>
          </w:p>
        </w:tc>
        <w:tc>
          <w:tcPr>
            <w:tcW w:w="1303" w:type="dxa"/>
            <w:tcBorders>
              <w:top w:val="nil"/>
              <w:left w:val="nil"/>
              <w:bottom w:val="single" w:color="auto" w:sz="4" w:space="0"/>
              <w:right w:val="single" w:color="auto" w:sz="4" w:space="0"/>
            </w:tcBorders>
            <w:vAlign w:val="center"/>
          </w:tcPr>
          <w:p>
            <w:pPr>
              <w:widowControl/>
              <w:jc w:val="center"/>
              <w:rPr>
                <w:rFonts w:ascii="宋体" w:hAnsi="宋体"/>
                <w:szCs w:val="21"/>
              </w:rPr>
            </w:pPr>
          </w:p>
        </w:tc>
        <w:tc>
          <w:tcPr>
            <w:tcW w:w="124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4.09</w:t>
            </w:r>
          </w:p>
        </w:tc>
      </w:tr>
      <w:tr>
        <w:tblPrEx>
          <w:tblLayout w:type="fixed"/>
          <w:tblCellMar>
            <w:top w:w="0" w:type="dxa"/>
            <w:left w:w="108" w:type="dxa"/>
            <w:bottom w:w="0" w:type="dxa"/>
            <w:right w:w="108" w:type="dxa"/>
          </w:tblCellMar>
        </w:tblPrEx>
        <w:trPr>
          <w:trHeight w:val="480" w:hRule="atLeast"/>
          <w:jc w:val="center"/>
        </w:trPr>
        <w:tc>
          <w:tcPr>
            <w:tcW w:w="57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210</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04</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363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公共卫生</w:t>
            </w:r>
          </w:p>
        </w:tc>
        <w:tc>
          <w:tcPr>
            <w:tcW w:w="1275"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422.21</w:t>
            </w:r>
          </w:p>
        </w:tc>
        <w:tc>
          <w:tcPr>
            <w:tcW w:w="1303"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390.48</w:t>
            </w:r>
          </w:p>
        </w:tc>
        <w:tc>
          <w:tcPr>
            <w:tcW w:w="124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31.73</w:t>
            </w:r>
          </w:p>
        </w:tc>
      </w:tr>
      <w:tr>
        <w:tblPrEx>
          <w:tblLayout w:type="fixed"/>
          <w:tblCellMar>
            <w:top w:w="0" w:type="dxa"/>
            <w:left w:w="108" w:type="dxa"/>
            <w:bottom w:w="0" w:type="dxa"/>
            <w:right w:w="108" w:type="dxa"/>
          </w:tblCellMar>
        </w:tblPrEx>
        <w:trPr>
          <w:trHeight w:val="480" w:hRule="atLeast"/>
          <w:jc w:val="center"/>
        </w:trPr>
        <w:tc>
          <w:tcPr>
            <w:tcW w:w="57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210</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04</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08</w:t>
            </w:r>
          </w:p>
        </w:tc>
        <w:tc>
          <w:tcPr>
            <w:tcW w:w="363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基本公共卫生服务</w:t>
            </w:r>
          </w:p>
        </w:tc>
        <w:tc>
          <w:tcPr>
            <w:tcW w:w="1275"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422.21</w:t>
            </w:r>
          </w:p>
        </w:tc>
        <w:tc>
          <w:tcPr>
            <w:tcW w:w="1303"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390.48</w:t>
            </w:r>
          </w:p>
        </w:tc>
        <w:tc>
          <w:tcPr>
            <w:tcW w:w="124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31.73</w:t>
            </w:r>
          </w:p>
        </w:tc>
      </w:tr>
      <w:tr>
        <w:tblPrEx>
          <w:tblLayout w:type="fixed"/>
          <w:tblCellMar>
            <w:top w:w="0" w:type="dxa"/>
            <w:left w:w="108" w:type="dxa"/>
            <w:bottom w:w="0" w:type="dxa"/>
            <w:right w:w="108" w:type="dxa"/>
          </w:tblCellMar>
        </w:tblPrEx>
        <w:trPr>
          <w:trHeight w:val="480" w:hRule="atLeast"/>
          <w:jc w:val="center"/>
        </w:trPr>
        <w:tc>
          <w:tcPr>
            <w:tcW w:w="57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210</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11</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363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行政事业单位医疗</w:t>
            </w:r>
          </w:p>
        </w:tc>
        <w:tc>
          <w:tcPr>
            <w:tcW w:w="1275"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152.73</w:t>
            </w:r>
          </w:p>
        </w:tc>
        <w:tc>
          <w:tcPr>
            <w:tcW w:w="1303"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152.73</w:t>
            </w:r>
          </w:p>
        </w:tc>
        <w:tc>
          <w:tcPr>
            <w:tcW w:w="1249" w:type="dxa"/>
            <w:tcBorders>
              <w:top w:val="nil"/>
              <w:left w:val="nil"/>
              <w:bottom w:val="single" w:color="auto" w:sz="4" w:space="0"/>
              <w:right w:val="single" w:color="auto" w:sz="4" w:space="0"/>
            </w:tcBorders>
            <w:vAlign w:val="center"/>
          </w:tcPr>
          <w:p>
            <w:pPr>
              <w:widowControl/>
              <w:jc w:val="center"/>
              <w:rPr>
                <w:rFonts w:ascii="宋体" w:hAnsi="宋体"/>
                <w:szCs w:val="21"/>
              </w:rPr>
            </w:pPr>
          </w:p>
        </w:tc>
      </w:tr>
      <w:tr>
        <w:tblPrEx>
          <w:tblLayout w:type="fixed"/>
          <w:tblCellMar>
            <w:top w:w="0" w:type="dxa"/>
            <w:left w:w="108" w:type="dxa"/>
            <w:bottom w:w="0" w:type="dxa"/>
            <w:right w:w="108" w:type="dxa"/>
          </w:tblCellMar>
        </w:tblPrEx>
        <w:trPr>
          <w:trHeight w:val="480" w:hRule="atLeast"/>
          <w:jc w:val="center"/>
        </w:trPr>
        <w:tc>
          <w:tcPr>
            <w:tcW w:w="57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210</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11</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02</w:t>
            </w:r>
          </w:p>
        </w:tc>
        <w:tc>
          <w:tcPr>
            <w:tcW w:w="363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事业单位医疗</w:t>
            </w:r>
          </w:p>
        </w:tc>
        <w:tc>
          <w:tcPr>
            <w:tcW w:w="1275"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152.73</w:t>
            </w:r>
          </w:p>
        </w:tc>
        <w:tc>
          <w:tcPr>
            <w:tcW w:w="1303"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152.73</w:t>
            </w:r>
          </w:p>
        </w:tc>
        <w:tc>
          <w:tcPr>
            <w:tcW w:w="1249" w:type="dxa"/>
            <w:tcBorders>
              <w:top w:val="nil"/>
              <w:left w:val="nil"/>
              <w:bottom w:val="single" w:color="auto" w:sz="4" w:space="0"/>
              <w:right w:val="single" w:color="auto" w:sz="4" w:space="0"/>
            </w:tcBorders>
            <w:vAlign w:val="center"/>
          </w:tcPr>
          <w:p>
            <w:pPr>
              <w:widowControl/>
              <w:jc w:val="center"/>
              <w:rPr>
                <w:rFonts w:ascii="宋体" w:hAnsi="宋体"/>
                <w:szCs w:val="21"/>
              </w:rPr>
            </w:pPr>
          </w:p>
        </w:tc>
      </w:tr>
      <w:tr>
        <w:tblPrEx>
          <w:tblLayout w:type="fixed"/>
          <w:tblCellMar>
            <w:top w:w="0" w:type="dxa"/>
            <w:left w:w="108" w:type="dxa"/>
            <w:bottom w:w="0" w:type="dxa"/>
            <w:right w:w="108" w:type="dxa"/>
          </w:tblCellMar>
        </w:tblPrEx>
        <w:trPr>
          <w:trHeight w:val="480" w:hRule="atLeast"/>
          <w:jc w:val="center"/>
        </w:trPr>
        <w:tc>
          <w:tcPr>
            <w:tcW w:w="57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221</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363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住房保障支出</w:t>
            </w:r>
          </w:p>
        </w:tc>
        <w:tc>
          <w:tcPr>
            <w:tcW w:w="1275"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1.89</w:t>
            </w:r>
          </w:p>
        </w:tc>
        <w:tc>
          <w:tcPr>
            <w:tcW w:w="1303"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1.89</w:t>
            </w:r>
          </w:p>
        </w:tc>
        <w:tc>
          <w:tcPr>
            <w:tcW w:w="1249" w:type="dxa"/>
            <w:tcBorders>
              <w:top w:val="nil"/>
              <w:left w:val="nil"/>
              <w:bottom w:val="single" w:color="auto" w:sz="4" w:space="0"/>
              <w:right w:val="single" w:color="auto" w:sz="4" w:space="0"/>
            </w:tcBorders>
            <w:vAlign w:val="center"/>
          </w:tcPr>
          <w:p>
            <w:pPr>
              <w:widowControl/>
              <w:jc w:val="center"/>
              <w:rPr>
                <w:rFonts w:ascii="宋体" w:hAnsi="宋体"/>
                <w:szCs w:val="21"/>
              </w:rPr>
            </w:pPr>
          </w:p>
        </w:tc>
      </w:tr>
      <w:tr>
        <w:tblPrEx>
          <w:tblLayout w:type="fixed"/>
          <w:tblCellMar>
            <w:top w:w="0" w:type="dxa"/>
            <w:left w:w="108" w:type="dxa"/>
            <w:bottom w:w="0" w:type="dxa"/>
            <w:right w:w="108" w:type="dxa"/>
          </w:tblCellMar>
        </w:tblPrEx>
        <w:trPr>
          <w:trHeight w:val="480" w:hRule="atLeast"/>
          <w:jc w:val="center"/>
        </w:trPr>
        <w:tc>
          <w:tcPr>
            <w:tcW w:w="57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221</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02</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363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住房改革支出</w:t>
            </w:r>
          </w:p>
        </w:tc>
        <w:tc>
          <w:tcPr>
            <w:tcW w:w="1275"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1.89</w:t>
            </w:r>
          </w:p>
        </w:tc>
        <w:tc>
          <w:tcPr>
            <w:tcW w:w="1303"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1.89</w:t>
            </w:r>
          </w:p>
        </w:tc>
        <w:tc>
          <w:tcPr>
            <w:tcW w:w="1249" w:type="dxa"/>
            <w:tcBorders>
              <w:top w:val="nil"/>
              <w:left w:val="nil"/>
              <w:bottom w:val="single" w:color="auto" w:sz="4" w:space="0"/>
              <w:right w:val="single" w:color="auto" w:sz="4" w:space="0"/>
            </w:tcBorders>
            <w:vAlign w:val="center"/>
          </w:tcPr>
          <w:p>
            <w:pPr>
              <w:widowControl/>
              <w:jc w:val="center"/>
              <w:rPr>
                <w:rFonts w:ascii="宋体" w:hAnsi="宋体"/>
                <w:szCs w:val="21"/>
              </w:rPr>
            </w:pPr>
          </w:p>
        </w:tc>
      </w:tr>
      <w:tr>
        <w:tblPrEx>
          <w:tblLayout w:type="fixed"/>
          <w:tblCellMar>
            <w:top w:w="0" w:type="dxa"/>
            <w:left w:w="108" w:type="dxa"/>
            <w:bottom w:w="0" w:type="dxa"/>
            <w:right w:w="108" w:type="dxa"/>
          </w:tblCellMar>
        </w:tblPrEx>
        <w:trPr>
          <w:trHeight w:val="480" w:hRule="atLeast"/>
          <w:jc w:val="center"/>
        </w:trPr>
        <w:tc>
          <w:tcPr>
            <w:tcW w:w="57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221</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02</w:t>
            </w:r>
          </w:p>
        </w:tc>
        <w:tc>
          <w:tcPr>
            <w:tcW w:w="4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01</w:t>
            </w:r>
          </w:p>
        </w:tc>
        <w:tc>
          <w:tcPr>
            <w:tcW w:w="363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住房公积金</w:t>
            </w:r>
          </w:p>
        </w:tc>
        <w:tc>
          <w:tcPr>
            <w:tcW w:w="1275"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1.89</w:t>
            </w:r>
          </w:p>
        </w:tc>
        <w:tc>
          <w:tcPr>
            <w:tcW w:w="1303"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1.89</w:t>
            </w:r>
          </w:p>
        </w:tc>
        <w:tc>
          <w:tcPr>
            <w:tcW w:w="1249" w:type="dxa"/>
            <w:tcBorders>
              <w:top w:val="nil"/>
              <w:left w:val="nil"/>
              <w:bottom w:val="single" w:color="auto" w:sz="4" w:space="0"/>
              <w:right w:val="single" w:color="auto" w:sz="4" w:space="0"/>
            </w:tcBorders>
            <w:vAlign w:val="center"/>
          </w:tcPr>
          <w:p>
            <w:pPr>
              <w:widowControl/>
              <w:jc w:val="center"/>
              <w:rPr>
                <w:rFonts w:ascii="宋体" w:hAnsi="宋体"/>
                <w:szCs w:val="21"/>
              </w:rPr>
            </w:pPr>
          </w:p>
        </w:tc>
      </w:tr>
      <w:tr>
        <w:tblPrEx>
          <w:tblLayout w:type="fixed"/>
          <w:tblCellMar>
            <w:top w:w="0" w:type="dxa"/>
            <w:left w:w="108" w:type="dxa"/>
            <w:bottom w:w="0" w:type="dxa"/>
            <w:right w:w="108" w:type="dxa"/>
          </w:tblCellMar>
        </w:tblPrEx>
        <w:trPr>
          <w:trHeight w:val="480" w:hRule="atLeast"/>
          <w:jc w:val="center"/>
        </w:trPr>
        <w:tc>
          <w:tcPr>
            <w:tcW w:w="5101"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275"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3396.86</w:t>
            </w:r>
          </w:p>
        </w:tc>
        <w:tc>
          <w:tcPr>
            <w:tcW w:w="130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2963.19</w:t>
            </w:r>
          </w:p>
        </w:tc>
        <w:tc>
          <w:tcPr>
            <w:tcW w:w="124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433.67</w:t>
            </w:r>
          </w:p>
        </w:tc>
      </w:tr>
    </w:tbl>
    <w:p>
      <w:pPr>
        <w:autoSpaceDE w:val="0"/>
        <w:autoSpaceDN w:val="0"/>
        <w:adjustRightInd w:val="0"/>
        <w:rPr>
          <w:rFonts w:ascii="宋体" w:hAnsi="宋体"/>
          <w:szCs w:val="21"/>
        </w:rPr>
      </w:pPr>
    </w:p>
    <w:p>
      <w:pPr>
        <w:autoSpaceDE w:val="0"/>
        <w:autoSpaceDN w:val="0"/>
        <w:adjustRightInd w:val="0"/>
        <w:jc w:val="center"/>
        <w:rPr>
          <w:rFonts w:ascii="宋体" w:hAnsi="宋体"/>
          <w:szCs w:val="21"/>
        </w:rPr>
      </w:pPr>
      <w:r>
        <w:rPr>
          <w:rFonts w:ascii="宋体" w:hAnsi="宋体"/>
          <w:szCs w:val="21"/>
        </w:rPr>
        <w:br w:type="page"/>
      </w:r>
      <w:r>
        <w:rPr>
          <w:rFonts w:hint="eastAsia" w:ascii="宋体" w:hAnsi="宋体"/>
          <w:szCs w:val="21"/>
        </w:rPr>
        <w:t>2018年度一般公共预算财政拨款基本支出决算表</w:t>
      </w:r>
    </w:p>
    <w:p>
      <w:pPr>
        <w:autoSpaceDE w:val="0"/>
        <w:autoSpaceDN w:val="0"/>
        <w:adjustRightInd w:val="0"/>
        <w:jc w:val="right"/>
        <w:rPr>
          <w:rFonts w:ascii="宋体" w:hAnsi="宋体"/>
          <w:szCs w:val="21"/>
        </w:rPr>
      </w:pPr>
      <w:r>
        <w:rPr>
          <w:rFonts w:hint="eastAsia" w:ascii="宋体" w:hAnsi="宋体"/>
          <w:szCs w:val="21"/>
        </w:rPr>
        <w:t xml:space="preserve">  单位：万元</w:t>
      </w:r>
    </w:p>
    <w:tbl>
      <w:tblPr>
        <w:tblStyle w:val="11"/>
        <w:tblW w:w="8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604"/>
        <w:gridCol w:w="3403"/>
        <w:gridCol w:w="1082"/>
        <w:gridCol w:w="1353"/>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612" w:type="dxa"/>
            <w:gridSpan w:val="3"/>
            <w:vAlign w:val="center"/>
          </w:tcPr>
          <w:p>
            <w:pPr>
              <w:widowControl/>
              <w:jc w:val="center"/>
              <w:rPr>
                <w:rFonts w:ascii="宋体" w:hAnsi="宋体" w:cs="宋体"/>
                <w:kern w:val="0"/>
                <w:szCs w:val="21"/>
              </w:rPr>
            </w:pPr>
            <w:r>
              <w:rPr>
                <w:rFonts w:hint="eastAsia" w:ascii="宋体" w:hAnsi="宋体" w:cs="宋体"/>
                <w:kern w:val="0"/>
                <w:szCs w:val="21"/>
              </w:rPr>
              <w:t>项目</w:t>
            </w:r>
          </w:p>
        </w:tc>
        <w:tc>
          <w:tcPr>
            <w:tcW w:w="1082" w:type="dxa"/>
            <w:vMerge w:val="restart"/>
            <w:vAlign w:val="center"/>
          </w:tcPr>
          <w:p>
            <w:pPr>
              <w:jc w:val="center"/>
              <w:rPr>
                <w:rFonts w:ascii="宋体" w:hAnsi="宋体" w:cs="宋体"/>
                <w:kern w:val="0"/>
                <w:szCs w:val="21"/>
              </w:rPr>
            </w:pPr>
            <w:r>
              <w:rPr>
                <w:rFonts w:hint="eastAsia" w:ascii="宋体" w:hAnsi="宋体"/>
                <w:szCs w:val="21"/>
              </w:rPr>
              <w:t>合计</w:t>
            </w:r>
          </w:p>
        </w:tc>
        <w:tc>
          <w:tcPr>
            <w:tcW w:w="1353" w:type="dxa"/>
            <w:vMerge w:val="restart"/>
            <w:vAlign w:val="center"/>
          </w:tcPr>
          <w:p>
            <w:pPr>
              <w:jc w:val="center"/>
              <w:rPr>
                <w:rFonts w:ascii="宋体" w:hAnsi="宋体" w:cs="宋体"/>
                <w:kern w:val="0"/>
                <w:szCs w:val="21"/>
              </w:rPr>
            </w:pPr>
            <w:r>
              <w:rPr>
                <w:rFonts w:hint="eastAsia" w:ascii="宋体" w:hAnsi="宋体" w:cs="宋体"/>
                <w:kern w:val="0"/>
                <w:szCs w:val="21"/>
              </w:rPr>
              <w:t>人员经费</w:t>
            </w:r>
          </w:p>
        </w:tc>
        <w:tc>
          <w:tcPr>
            <w:tcW w:w="1416" w:type="dxa"/>
            <w:vMerge w:val="restart"/>
            <w:vAlign w:val="center"/>
          </w:tcPr>
          <w:p>
            <w:pPr>
              <w:jc w:val="center"/>
              <w:rPr>
                <w:rFonts w:ascii="宋体" w:hAnsi="宋体" w:cs="宋体"/>
                <w:kern w:val="0"/>
                <w:szCs w:val="21"/>
              </w:rPr>
            </w:pPr>
            <w:r>
              <w:rPr>
                <w:rFonts w:hint="eastAsia" w:ascii="宋体" w:hAnsi="宋体" w:cs="宋体"/>
                <w:kern w:val="0"/>
                <w:szCs w:val="21"/>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jc w:val="center"/>
        </w:trPr>
        <w:tc>
          <w:tcPr>
            <w:tcW w:w="1209" w:type="dxa"/>
            <w:gridSpan w:val="2"/>
            <w:vAlign w:val="center"/>
          </w:tcPr>
          <w:p>
            <w:pPr>
              <w:widowControl/>
              <w:jc w:val="center"/>
              <w:rPr>
                <w:rFonts w:ascii="宋体" w:hAnsi="宋体" w:cs="宋体"/>
                <w:kern w:val="0"/>
                <w:szCs w:val="21"/>
              </w:rPr>
            </w:pPr>
            <w:r>
              <w:rPr>
                <w:rFonts w:hint="eastAsia" w:ascii="宋体" w:hAnsi="宋体" w:cs="宋体"/>
                <w:kern w:val="0"/>
                <w:szCs w:val="21"/>
              </w:rPr>
              <w:t>经济分类</w:t>
            </w:r>
          </w:p>
          <w:p>
            <w:pPr>
              <w:widowControl/>
              <w:jc w:val="center"/>
              <w:rPr>
                <w:rFonts w:ascii="宋体" w:hAnsi="宋体" w:cs="宋体"/>
                <w:kern w:val="0"/>
                <w:szCs w:val="21"/>
              </w:rPr>
            </w:pPr>
            <w:r>
              <w:rPr>
                <w:rFonts w:hint="eastAsia" w:ascii="宋体" w:hAnsi="宋体" w:cs="宋体"/>
                <w:kern w:val="0"/>
                <w:szCs w:val="21"/>
              </w:rPr>
              <w:t>科目编码</w:t>
            </w:r>
          </w:p>
        </w:tc>
        <w:tc>
          <w:tcPr>
            <w:tcW w:w="3403" w:type="dxa"/>
            <w:vMerge w:val="restart"/>
            <w:vAlign w:val="center"/>
          </w:tcPr>
          <w:p>
            <w:pPr>
              <w:widowControl/>
              <w:jc w:val="center"/>
              <w:rPr>
                <w:rFonts w:ascii="宋体" w:hAnsi="宋体" w:cs="宋体"/>
                <w:kern w:val="0"/>
                <w:szCs w:val="21"/>
              </w:rPr>
            </w:pPr>
            <w:r>
              <w:rPr>
                <w:rFonts w:hint="eastAsia" w:ascii="宋体" w:hAnsi="宋体" w:cs="宋体"/>
                <w:kern w:val="0"/>
                <w:szCs w:val="21"/>
              </w:rPr>
              <w:t>科目名称</w:t>
            </w:r>
          </w:p>
        </w:tc>
        <w:tc>
          <w:tcPr>
            <w:tcW w:w="1082" w:type="dxa"/>
            <w:vMerge w:val="continue"/>
            <w:vAlign w:val="center"/>
          </w:tcPr>
          <w:p>
            <w:pPr>
              <w:jc w:val="center"/>
              <w:rPr>
                <w:rFonts w:ascii="宋体" w:hAnsi="宋体" w:cs="宋体"/>
                <w:kern w:val="0"/>
                <w:szCs w:val="21"/>
              </w:rPr>
            </w:pPr>
          </w:p>
        </w:tc>
        <w:tc>
          <w:tcPr>
            <w:tcW w:w="1353" w:type="dxa"/>
            <w:vMerge w:val="continue"/>
            <w:vAlign w:val="center"/>
          </w:tcPr>
          <w:p>
            <w:pPr>
              <w:jc w:val="center"/>
              <w:rPr>
                <w:rFonts w:ascii="宋体" w:hAnsi="宋体" w:cs="宋体"/>
                <w:kern w:val="0"/>
                <w:szCs w:val="21"/>
              </w:rPr>
            </w:pPr>
          </w:p>
        </w:tc>
        <w:tc>
          <w:tcPr>
            <w:tcW w:w="1416" w:type="dxa"/>
            <w:vMerge w:val="continue"/>
            <w:vAlign w:val="center"/>
          </w:tcPr>
          <w:p>
            <w:pPr>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szCs w:val="21"/>
              </w:rPr>
            </w:pPr>
            <w:r>
              <w:rPr>
                <w:rFonts w:hint="eastAsia" w:ascii="宋体" w:hAnsi="宋体"/>
                <w:szCs w:val="21"/>
              </w:rPr>
              <w:t>类</w:t>
            </w:r>
          </w:p>
        </w:tc>
        <w:tc>
          <w:tcPr>
            <w:tcW w:w="604" w:type="dxa"/>
            <w:vAlign w:val="center"/>
          </w:tcPr>
          <w:p>
            <w:pPr>
              <w:jc w:val="center"/>
              <w:rPr>
                <w:rFonts w:ascii="宋体" w:hAnsi="宋体"/>
                <w:szCs w:val="21"/>
              </w:rPr>
            </w:pPr>
            <w:r>
              <w:rPr>
                <w:rFonts w:hint="eastAsia" w:ascii="宋体" w:hAnsi="宋体"/>
                <w:szCs w:val="21"/>
              </w:rPr>
              <w:t>款</w:t>
            </w:r>
          </w:p>
        </w:tc>
        <w:tc>
          <w:tcPr>
            <w:tcW w:w="3403" w:type="dxa"/>
            <w:vMerge w:val="continue"/>
            <w:vAlign w:val="center"/>
          </w:tcPr>
          <w:p>
            <w:pPr>
              <w:rPr>
                <w:rFonts w:ascii="宋体" w:hAnsi="宋体"/>
                <w:szCs w:val="21"/>
              </w:rPr>
            </w:pPr>
          </w:p>
        </w:tc>
        <w:tc>
          <w:tcPr>
            <w:tcW w:w="1082" w:type="dxa"/>
            <w:vMerge w:val="continue"/>
            <w:vAlign w:val="center"/>
          </w:tcPr>
          <w:p>
            <w:pPr>
              <w:widowControl/>
              <w:jc w:val="right"/>
              <w:rPr>
                <w:rFonts w:ascii="宋体" w:hAnsi="宋体" w:cs="宋体"/>
                <w:color w:val="000000"/>
                <w:kern w:val="0"/>
                <w:szCs w:val="21"/>
              </w:rPr>
            </w:pPr>
          </w:p>
        </w:tc>
        <w:tc>
          <w:tcPr>
            <w:tcW w:w="1353" w:type="dxa"/>
            <w:vMerge w:val="continue"/>
            <w:vAlign w:val="center"/>
          </w:tcPr>
          <w:p>
            <w:pPr>
              <w:widowControl/>
              <w:jc w:val="right"/>
              <w:rPr>
                <w:rFonts w:ascii="宋体" w:hAnsi="宋体" w:cs="宋体"/>
                <w:color w:val="000000"/>
                <w:kern w:val="0"/>
                <w:szCs w:val="21"/>
              </w:rPr>
            </w:pPr>
          </w:p>
        </w:tc>
        <w:tc>
          <w:tcPr>
            <w:tcW w:w="1416" w:type="dxa"/>
            <w:vMerge w:val="continue"/>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301</w:t>
            </w:r>
          </w:p>
        </w:tc>
        <w:tc>
          <w:tcPr>
            <w:tcW w:w="604" w:type="dxa"/>
            <w:vAlign w:val="center"/>
          </w:tcPr>
          <w:p>
            <w:pPr>
              <w:jc w:val="center"/>
              <w:rPr>
                <w:rFonts w:ascii="宋体" w:hAnsi="宋体" w:cs="Arial"/>
                <w:szCs w:val="21"/>
              </w:rPr>
            </w:pPr>
          </w:p>
        </w:tc>
        <w:tc>
          <w:tcPr>
            <w:tcW w:w="3403" w:type="dxa"/>
            <w:vAlign w:val="center"/>
          </w:tcPr>
          <w:p>
            <w:pPr>
              <w:rPr>
                <w:rFonts w:ascii="宋体" w:hAnsi="宋体" w:cs="宋体"/>
                <w:szCs w:val="21"/>
              </w:rPr>
            </w:pPr>
            <w:r>
              <w:rPr>
                <w:rFonts w:hint="eastAsia" w:ascii="宋体" w:hAnsi="宋体"/>
                <w:szCs w:val="21"/>
              </w:rPr>
              <w:t>工资福利支出</w:t>
            </w:r>
          </w:p>
        </w:tc>
        <w:tc>
          <w:tcPr>
            <w:tcW w:w="1082"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2963.09</w:t>
            </w:r>
          </w:p>
        </w:tc>
        <w:tc>
          <w:tcPr>
            <w:tcW w:w="135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2963.09</w:t>
            </w: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301</w:t>
            </w:r>
          </w:p>
        </w:tc>
        <w:tc>
          <w:tcPr>
            <w:tcW w:w="604" w:type="dxa"/>
            <w:vAlign w:val="center"/>
          </w:tcPr>
          <w:p>
            <w:pPr>
              <w:jc w:val="center"/>
              <w:rPr>
                <w:rFonts w:ascii="宋体" w:hAnsi="宋体" w:cs="Arial"/>
                <w:szCs w:val="21"/>
              </w:rPr>
            </w:pPr>
            <w:r>
              <w:rPr>
                <w:rFonts w:hint="eastAsia" w:ascii="宋体" w:hAnsi="宋体" w:cs="Arial"/>
                <w:szCs w:val="21"/>
              </w:rPr>
              <w:t>01</w:t>
            </w:r>
          </w:p>
        </w:tc>
        <w:tc>
          <w:tcPr>
            <w:tcW w:w="3403" w:type="dxa"/>
            <w:vAlign w:val="center"/>
          </w:tcPr>
          <w:p>
            <w:pPr>
              <w:rPr>
                <w:rFonts w:ascii="宋体" w:hAnsi="宋体" w:cs="宋体"/>
                <w:szCs w:val="21"/>
              </w:rPr>
            </w:pPr>
            <w:r>
              <w:rPr>
                <w:rFonts w:hint="eastAsia" w:ascii="宋体" w:hAnsi="宋体"/>
                <w:szCs w:val="21"/>
              </w:rPr>
              <w:t xml:space="preserve">  基本工资</w:t>
            </w:r>
          </w:p>
        </w:tc>
        <w:tc>
          <w:tcPr>
            <w:tcW w:w="1082"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402.94</w:t>
            </w:r>
          </w:p>
        </w:tc>
        <w:tc>
          <w:tcPr>
            <w:tcW w:w="135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402.94</w:t>
            </w: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301</w:t>
            </w:r>
          </w:p>
        </w:tc>
        <w:tc>
          <w:tcPr>
            <w:tcW w:w="604" w:type="dxa"/>
            <w:vAlign w:val="center"/>
          </w:tcPr>
          <w:p>
            <w:pPr>
              <w:jc w:val="center"/>
              <w:rPr>
                <w:rFonts w:ascii="宋体" w:hAnsi="宋体" w:cs="Arial"/>
                <w:szCs w:val="21"/>
              </w:rPr>
            </w:pPr>
            <w:r>
              <w:rPr>
                <w:rFonts w:hint="eastAsia" w:ascii="宋体" w:hAnsi="宋体" w:cs="Arial"/>
                <w:szCs w:val="21"/>
              </w:rPr>
              <w:t>02</w:t>
            </w:r>
          </w:p>
        </w:tc>
        <w:tc>
          <w:tcPr>
            <w:tcW w:w="3403" w:type="dxa"/>
            <w:vAlign w:val="center"/>
          </w:tcPr>
          <w:p>
            <w:pPr>
              <w:rPr>
                <w:rFonts w:ascii="宋体" w:hAnsi="宋体" w:cs="宋体"/>
                <w:szCs w:val="21"/>
              </w:rPr>
            </w:pPr>
            <w:r>
              <w:rPr>
                <w:rFonts w:hint="eastAsia" w:ascii="宋体" w:hAnsi="宋体"/>
                <w:szCs w:val="21"/>
              </w:rPr>
              <w:t xml:space="preserve">  津贴补贴</w:t>
            </w:r>
          </w:p>
        </w:tc>
        <w:tc>
          <w:tcPr>
            <w:tcW w:w="1082"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199.57</w:t>
            </w:r>
          </w:p>
        </w:tc>
        <w:tc>
          <w:tcPr>
            <w:tcW w:w="135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199.57</w:t>
            </w: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301</w:t>
            </w:r>
          </w:p>
        </w:tc>
        <w:tc>
          <w:tcPr>
            <w:tcW w:w="604" w:type="dxa"/>
            <w:vAlign w:val="center"/>
          </w:tcPr>
          <w:p>
            <w:pPr>
              <w:jc w:val="center"/>
              <w:rPr>
                <w:rFonts w:ascii="宋体" w:hAnsi="宋体" w:cs="Arial"/>
                <w:szCs w:val="21"/>
              </w:rPr>
            </w:pPr>
            <w:r>
              <w:rPr>
                <w:rFonts w:hint="eastAsia" w:ascii="宋体" w:hAnsi="宋体" w:cs="Arial"/>
                <w:szCs w:val="21"/>
              </w:rPr>
              <w:t>03</w:t>
            </w:r>
          </w:p>
        </w:tc>
        <w:tc>
          <w:tcPr>
            <w:tcW w:w="3403" w:type="dxa"/>
            <w:vAlign w:val="center"/>
          </w:tcPr>
          <w:p>
            <w:pPr>
              <w:rPr>
                <w:rFonts w:ascii="宋体" w:hAnsi="宋体" w:cs="宋体"/>
                <w:szCs w:val="21"/>
              </w:rPr>
            </w:pPr>
            <w:r>
              <w:rPr>
                <w:rFonts w:hint="eastAsia" w:ascii="宋体" w:hAnsi="宋体"/>
                <w:szCs w:val="21"/>
              </w:rPr>
              <w:t xml:space="preserve">  奖金</w:t>
            </w:r>
          </w:p>
        </w:tc>
        <w:tc>
          <w:tcPr>
            <w:tcW w:w="1082"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50.63</w:t>
            </w:r>
          </w:p>
        </w:tc>
        <w:tc>
          <w:tcPr>
            <w:tcW w:w="135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50.63</w:t>
            </w: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301</w:t>
            </w:r>
          </w:p>
        </w:tc>
        <w:tc>
          <w:tcPr>
            <w:tcW w:w="604" w:type="dxa"/>
            <w:vAlign w:val="center"/>
          </w:tcPr>
          <w:p>
            <w:pPr>
              <w:jc w:val="center"/>
              <w:rPr>
                <w:rFonts w:ascii="宋体" w:hAnsi="宋体" w:cs="Arial"/>
                <w:szCs w:val="21"/>
              </w:rPr>
            </w:pPr>
            <w:r>
              <w:rPr>
                <w:rFonts w:hint="eastAsia" w:ascii="宋体" w:hAnsi="宋体" w:cs="Arial"/>
                <w:szCs w:val="21"/>
              </w:rPr>
              <w:t>06</w:t>
            </w:r>
          </w:p>
        </w:tc>
        <w:tc>
          <w:tcPr>
            <w:tcW w:w="3403" w:type="dxa"/>
            <w:vAlign w:val="center"/>
          </w:tcPr>
          <w:p>
            <w:pPr>
              <w:rPr>
                <w:rFonts w:ascii="宋体" w:hAnsi="宋体" w:cs="宋体"/>
                <w:szCs w:val="21"/>
              </w:rPr>
            </w:pPr>
            <w:r>
              <w:rPr>
                <w:rFonts w:hint="eastAsia" w:ascii="宋体" w:hAnsi="宋体"/>
                <w:szCs w:val="21"/>
              </w:rPr>
              <w:t xml:space="preserve">  伙食补助费</w:t>
            </w:r>
          </w:p>
        </w:tc>
        <w:tc>
          <w:tcPr>
            <w:tcW w:w="1082"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118.37</w:t>
            </w:r>
          </w:p>
        </w:tc>
        <w:tc>
          <w:tcPr>
            <w:tcW w:w="135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118.37</w:t>
            </w: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301</w:t>
            </w:r>
          </w:p>
        </w:tc>
        <w:tc>
          <w:tcPr>
            <w:tcW w:w="604" w:type="dxa"/>
            <w:vAlign w:val="center"/>
          </w:tcPr>
          <w:p>
            <w:pPr>
              <w:jc w:val="center"/>
              <w:rPr>
                <w:rFonts w:ascii="宋体" w:hAnsi="宋体" w:cs="Arial"/>
                <w:szCs w:val="21"/>
              </w:rPr>
            </w:pPr>
            <w:r>
              <w:rPr>
                <w:rFonts w:hint="eastAsia" w:ascii="宋体" w:hAnsi="宋体" w:cs="Arial"/>
                <w:szCs w:val="21"/>
              </w:rPr>
              <w:t>07</w:t>
            </w:r>
          </w:p>
        </w:tc>
        <w:tc>
          <w:tcPr>
            <w:tcW w:w="3403" w:type="dxa"/>
            <w:vAlign w:val="center"/>
          </w:tcPr>
          <w:p>
            <w:pPr>
              <w:rPr>
                <w:rFonts w:ascii="宋体" w:hAnsi="宋体" w:cs="宋体"/>
                <w:szCs w:val="21"/>
              </w:rPr>
            </w:pPr>
            <w:r>
              <w:rPr>
                <w:rFonts w:hint="eastAsia" w:ascii="宋体" w:hAnsi="宋体"/>
                <w:szCs w:val="21"/>
              </w:rPr>
              <w:t xml:space="preserve">  绩效工资</w:t>
            </w:r>
          </w:p>
        </w:tc>
        <w:tc>
          <w:tcPr>
            <w:tcW w:w="1082"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899.65</w:t>
            </w:r>
          </w:p>
        </w:tc>
        <w:tc>
          <w:tcPr>
            <w:tcW w:w="135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899.65</w:t>
            </w: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301</w:t>
            </w:r>
          </w:p>
        </w:tc>
        <w:tc>
          <w:tcPr>
            <w:tcW w:w="604" w:type="dxa"/>
            <w:vAlign w:val="center"/>
          </w:tcPr>
          <w:p>
            <w:pPr>
              <w:jc w:val="center"/>
              <w:rPr>
                <w:rFonts w:ascii="宋体" w:hAnsi="宋体" w:cs="Arial"/>
                <w:szCs w:val="21"/>
              </w:rPr>
            </w:pPr>
            <w:r>
              <w:rPr>
                <w:rFonts w:hint="eastAsia" w:ascii="宋体" w:hAnsi="宋体" w:cs="Arial"/>
                <w:szCs w:val="21"/>
              </w:rPr>
              <w:t>08</w:t>
            </w:r>
          </w:p>
        </w:tc>
        <w:tc>
          <w:tcPr>
            <w:tcW w:w="3403" w:type="dxa"/>
            <w:vAlign w:val="center"/>
          </w:tcPr>
          <w:p>
            <w:pPr>
              <w:ind w:firstLine="210" w:firstLineChars="100"/>
              <w:rPr>
                <w:rFonts w:ascii="宋体" w:hAnsi="宋体"/>
                <w:szCs w:val="21"/>
              </w:rPr>
            </w:pPr>
            <w:r>
              <w:rPr>
                <w:rFonts w:hint="eastAsia" w:ascii="宋体" w:hAnsi="宋体"/>
                <w:szCs w:val="21"/>
              </w:rPr>
              <w:t>机关事业单位基本养老保险费</w:t>
            </w:r>
          </w:p>
        </w:tc>
        <w:tc>
          <w:tcPr>
            <w:tcW w:w="1082"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453.93</w:t>
            </w:r>
          </w:p>
        </w:tc>
        <w:tc>
          <w:tcPr>
            <w:tcW w:w="135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453.93</w:t>
            </w: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301</w:t>
            </w:r>
          </w:p>
        </w:tc>
        <w:tc>
          <w:tcPr>
            <w:tcW w:w="604" w:type="dxa"/>
            <w:vAlign w:val="center"/>
          </w:tcPr>
          <w:p>
            <w:pPr>
              <w:jc w:val="center"/>
              <w:rPr>
                <w:rFonts w:ascii="宋体" w:hAnsi="宋体" w:cs="Arial"/>
                <w:szCs w:val="21"/>
              </w:rPr>
            </w:pPr>
            <w:r>
              <w:rPr>
                <w:rFonts w:hint="eastAsia" w:ascii="宋体" w:hAnsi="宋体" w:cs="Arial"/>
                <w:szCs w:val="21"/>
              </w:rPr>
              <w:t>09</w:t>
            </w:r>
          </w:p>
        </w:tc>
        <w:tc>
          <w:tcPr>
            <w:tcW w:w="3403" w:type="dxa"/>
            <w:vAlign w:val="center"/>
          </w:tcPr>
          <w:p>
            <w:pPr>
              <w:ind w:firstLine="210" w:firstLineChars="100"/>
              <w:rPr>
                <w:rFonts w:ascii="宋体" w:hAnsi="宋体"/>
                <w:szCs w:val="21"/>
              </w:rPr>
            </w:pPr>
            <w:r>
              <w:rPr>
                <w:rFonts w:hint="eastAsia" w:ascii="宋体" w:hAnsi="宋体"/>
                <w:szCs w:val="21"/>
              </w:rPr>
              <w:t>职业年金缴费</w:t>
            </w:r>
          </w:p>
        </w:tc>
        <w:tc>
          <w:tcPr>
            <w:tcW w:w="1082"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89.02</w:t>
            </w:r>
          </w:p>
        </w:tc>
        <w:tc>
          <w:tcPr>
            <w:tcW w:w="135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89.02</w:t>
            </w: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301</w:t>
            </w:r>
          </w:p>
        </w:tc>
        <w:tc>
          <w:tcPr>
            <w:tcW w:w="604" w:type="dxa"/>
            <w:vAlign w:val="center"/>
          </w:tcPr>
          <w:p>
            <w:pPr>
              <w:jc w:val="center"/>
              <w:rPr>
                <w:rFonts w:ascii="宋体" w:hAnsi="宋体" w:cs="Arial"/>
                <w:szCs w:val="21"/>
              </w:rPr>
            </w:pPr>
            <w:r>
              <w:rPr>
                <w:rFonts w:hint="eastAsia" w:ascii="宋体" w:hAnsi="宋体" w:cs="Arial"/>
                <w:szCs w:val="21"/>
              </w:rPr>
              <w:t>10</w:t>
            </w:r>
          </w:p>
        </w:tc>
        <w:tc>
          <w:tcPr>
            <w:tcW w:w="3403" w:type="dxa"/>
            <w:vAlign w:val="center"/>
          </w:tcPr>
          <w:p>
            <w:pPr>
              <w:ind w:firstLine="210" w:firstLineChars="100"/>
              <w:rPr>
                <w:rFonts w:ascii="宋体" w:hAnsi="宋体"/>
                <w:szCs w:val="21"/>
              </w:rPr>
            </w:pPr>
            <w:r>
              <w:rPr>
                <w:rFonts w:hint="eastAsia" w:ascii="宋体" w:hAnsi="宋体"/>
                <w:szCs w:val="21"/>
              </w:rPr>
              <w:t>职工基本医疗保险缴费</w:t>
            </w:r>
          </w:p>
        </w:tc>
        <w:tc>
          <w:tcPr>
            <w:tcW w:w="1082" w:type="dxa"/>
            <w:vAlign w:val="center"/>
          </w:tcPr>
          <w:p>
            <w:pPr>
              <w:widowControl/>
              <w:jc w:val="center"/>
              <w:rPr>
                <w:rFonts w:ascii="宋体" w:hAnsi="宋体" w:cs="宋体"/>
                <w:color w:val="000000"/>
                <w:kern w:val="0"/>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301</w:t>
            </w:r>
          </w:p>
        </w:tc>
        <w:tc>
          <w:tcPr>
            <w:tcW w:w="604" w:type="dxa"/>
            <w:vAlign w:val="center"/>
          </w:tcPr>
          <w:p>
            <w:pPr>
              <w:jc w:val="center"/>
              <w:rPr>
                <w:rFonts w:ascii="宋体" w:hAnsi="宋体" w:cs="Arial"/>
                <w:szCs w:val="21"/>
              </w:rPr>
            </w:pPr>
            <w:r>
              <w:rPr>
                <w:rFonts w:hint="eastAsia" w:ascii="宋体" w:hAnsi="宋体" w:cs="Arial"/>
                <w:szCs w:val="21"/>
              </w:rPr>
              <w:t>11</w:t>
            </w:r>
          </w:p>
        </w:tc>
        <w:tc>
          <w:tcPr>
            <w:tcW w:w="3403" w:type="dxa"/>
            <w:vAlign w:val="center"/>
          </w:tcPr>
          <w:p>
            <w:pPr>
              <w:ind w:firstLine="210" w:firstLineChars="100"/>
              <w:rPr>
                <w:rFonts w:ascii="宋体" w:hAnsi="宋体"/>
                <w:szCs w:val="21"/>
              </w:rPr>
            </w:pPr>
            <w:r>
              <w:rPr>
                <w:rFonts w:hint="eastAsia" w:ascii="宋体" w:hAnsi="宋体"/>
                <w:szCs w:val="21"/>
              </w:rPr>
              <w:t>公务员医疗补助缴费</w:t>
            </w:r>
          </w:p>
        </w:tc>
        <w:tc>
          <w:tcPr>
            <w:tcW w:w="1082" w:type="dxa"/>
            <w:vAlign w:val="center"/>
          </w:tcPr>
          <w:p>
            <w:pPr>
              <w:widowControl/>
              <w:jc w:val="center"/>
              <w:rPr>
                <w:rFonts w:ascii="宋体" w:hAnsi="宋体" w:cs="宋体"/>
                <w:color w:val="000000"/>
                <w:kern w:val="0"/>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301</w:t>
            </w:r>
          </w:p>
        </w:tc>
        <w:tc>
          <w:tcPr>
            <w:tcW w:w="604" w:type="dxa"/>
            <w:vAlign w:val="center"/>
          </w:tcPr>
          <w:p>
            <w:pPr>
              <w:jc w:val="center"/>
              <w:rPr>
                <w:rFonts w:ascii="宋体" w:hAnsi="宋体" w:cs="Arial"/>
                <w:szCs w:val="21"/>
              </w:rPr>
            </w:pPr>
            <w:r>
              <w:rPr>
                <w:rFonts w:hint="eastAsia" w:ascii="宋体" w:hAnsi="宋体" w:cs="Arial"/>
                <w:szCs w:val="21"/>
              </w:rPr>
              <w:t>12</w:t>
            </w:r>
          </w:p>
        </w:tc>
        <w:tc>
          <w:tcPr>
            <w:tcW w:w="3403" w:type="dxa"/>
            <w:vAlign w:val="center"/>
          </w:tcPr>
          <w:p>
            <w:pPr>
              <w:ind w:firstLine="210" w:firstLineChars="100"/>
              <w:rPr>
                <w:rFonts w:ascii="宋体" w:hAnsi="宋体"/>
                <w:szCs w:val="21"/>
              </w:rPr>
            </w:pPr>
            <w:r>
              <w:rPr>
                <w:rFonts w:hint="eastAsia" w:ascii="宋体" w:hAnsi="宋体"/>
                <w:szCs w:val="21"/>
              </w:rPr>
              <w:t>其他社会保障缴费</w:t>
            </w:r>
          </w:p>
        </w:tc>
        <w:tc>
          <w:tcPr>
            <w:tcW w:w="1082" w:type="dxa"/>
            <w:vAlign w:val="center"/>
          </w:tcPr>
          <w:p>
            <w:pPr>
              <w:widowControl/>
              <w:jc w:val="center"/>
              <w:rPr>
                <w:rFonts w:ascii="宋体" w:hAnsi="宋体" w:cs="宋体"/>
                <w:color w:val="000000"/>
                <w:kern w:val="0"/>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301</w:t>
            </w:r>
          </w:p>
        </w:tc>
        <w:tc>
          <w:tcPr>
            <w:tcW w:w="604" w:type="dxa"/>
            <w:vAlign w:val="center"/>
          </w:tcPr>
          <w:p>
            <w:pPr>
              <w:jc w:val="center"/>
              <w:rPr>
                <w:rFonts w:ascii="宋体" w:hAnsi="宋体" w:cs="Arial"/>
                <w:szCs w:val="21"/>
              </w:rPr>
            </w:pPr>
            <w:r>
              <w:rPr>
                <w:rFonts w:hint="eastAsia" w:ascii="宋体" w:hAnsi="宋体" w:cs="Arial"/>
                <w:szCs w:val="21"/>
              </w:rPr>
              <w:t>13</w:t>
            </w:r>
          </w:p>
        </w:tc>
        <w:tc>
          <w:tcPr>
            <w:tcW w:w="3403" w:type="dxa"/>
            <w:vAlign w:val="center"/>
          </w:tcPr>
          <w:p>
            <w:pPr>
              <w:ind w:firstLine="210" w:firstLineChars="100"/>
              <w:rPr>
                <w:rFonts w:ascii="宋体" w:hAnsi="宋体"/>
                <w:szCs w:val="21"/>
              </w:rPr>
            </w:pPr>
            <w:r>
              <w:rPr>
                <w:rFonts w:hint="eastAsia" w:ascii="宋体" w:hAnsi="宋体"/>
                <w:szCs w:val="21"/>
              </w:rPr>
              <w:t>住房公积金</w:t>
            </w:r>
          </w:p>
        </w:tc>
        <w:tc>
          <w:tcPr>
            <w:tcW w:w="1082"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1.89</w:t>
            </w:r>
          </w:p>
        </w:tc>
        <w:tc>
          <w:tcPr>
            <w:tcW w:w="135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1.89</w:t>
            </w: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301</w:t>
            </w:r>
          </w:p>
        </w:tc>
        <w:tc>
          <w:tcPr>
            <w:tcW w:w="604" w:type="dxa"/>
            <w:vAlign w:val="center"/>
          </w:tcPr>
          <w:p>
            <w:pPr>
              <w:jc w:val="center"/>
              <w:rPr>
                <w:rFonts w:ascii="宋体" w:hAnsi="宋体" w:cs="Arial"/>
                <w:szCs w:val="21"/>
              </w:rPr>
            </w:pPr>
            <w:r>
              <w:rPr>
                <w:rFonts w:hint="eastAsia" w:ascii="宋体" w:hAnsi="宋体" w:cs="Arial"/>
                <w:szCs w:val="21"/>
              </w:rPr>
              <w:t>14</w:t>
            </w:r>
          </w:p>
        </w:tc>
        <w:tc>
          <w:tcPr>
            <w:tcW w:w="3403" w:type="dxa"/>
            <w:vAlign w:val="center"/>
          </w:tcPr>
          <w:p>
            <w:pPr>
              <w:ind w:firstLine="210" w:firstLineChars="100"/>
              <w:rPr>
                <w:rFonts w:ascii="宋体" w:hAnsi="宋体"/>
                <w:szCs w:val="21"/>
              </w:rPr>
            </w:pPr>
            <w:r>
              <w:rPr>
                <w:rFonts w:hint="eastAsia" w:ascii="宋体" w:hAnsi="宋体"/>
                <w:szCs w:val="21"/>
              </w:rPr>
              <w:t>医疗费</w:t>
            </w:r>
          </w:p>
        </w:tc>
        <w:tc>
          <w:tcPr>
            <w:tcW w:w="1082"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152.73</w:t>
            </w:r>
          </w:p>
        </w:tc>
        <w:tc>
          <w:tcPr>
            <w:tcW w:w="135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152.73</w:t>
            </w: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301</w:t>
            </w:r>
          </w:p>
        </w:tc>
        <w:tc>
          <w:tcPr>
            <w:tcW w:w="604" w:type="dxa"/>
            <w:vAlign w:val="center"/>
          </w:tcPr>
          <w:p>
            <w:pPr>
              <w:jc w:val="center"/>
              <w:rPr>
                <w:rFonts w:ascii="宋体" w:hAnsi="宋体" w:cs="Arial"/>
                <w:szCs w:val="21"/>
              </w:rPr>
            </w:pPr>
            <w:r>
              <w:rPr>
                <w:rFonts w:hint="eastAsia" w:ascii="宋体" w:hAnsi="宋体" w:cs="Arial"/>
                <w:szCs w:val="21"/>
              </w:rPr>
              <w:t>99</w:t>
            </w:r>
          </w:p>
        </w:tc>
        <w:tc>
          <w:tcPr>
            <w:tcW w:w="3403" w:type="dxa"/>
            <w:vAlign w:val="center"/>
          </w:tcPr>
          <w:p>
            <w:pPr>
              <w:rPr>
                <w:rFonts w:ascii="宋体" w:hAnsi="宋体" w:cs="宋体"/>
                <w:szCs w:val="21"/>
              </w:rPr>
            </w:pPr>
            <w:r>
              <w:rPr>
                <w:rFonts w:hint="eastAsia" w:ascii="宋体" w:hAnsi="宋体"/>
                <w:szCs w:val="21"/>
              </w:rPr>
              <w:t xml:space="preserve">  其他工资福利支出</w:t>
            </w:r>
          </w:p>
        </w:tc>
        <w:tc>
          <w:tcPr>
            <w:tcW w:w="1082"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594.367</w:t>
            </w:r>
          </w:p>
        </w:tc>
        <w:tc>
          <w:tcPr>
            <w:tcW w:w="135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594.36</w:t>
            </w: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302</w:t>
            </w:r>
          </w:p>
        </w:tc>
        <w:tc>
          <w:tcPr>
            <w:tcW w:w="604" w:type="dxa"/>
            <w:vAlign w:val="center"/>
          </w:tcPr>
          <w:p>
            <w:pPr>
              <w:jc w:val="center"/>
              <w:rPr>
                <w:rFonts w:ascii="宋体" w:hAnsi="宋体" w:cs="Arial"/>
                <w:szCs w:val="21"/>
              </w:rPr>
            </w:pPr>
          </w:p>
        </w:tc>
        <w:tc>
          <w:tcPr>
            <w:tcW w:w="3403" w:type="dxa"/>
            <w:vAlign w:val="center"/>
          </w:tcPr>
          <w:p>
            <w:pPr>
              <w:rPr>
                <w:rFonts w:ascii="宋体" w:hAnsi="宋体" w:cs="宋体"/>
                <w:szCs w:val="21"/>
              </w:rPr>
            </w:pPr>
            <w:r>
              <w:rPr>
                <w:rFonts w:hint="eastAsia" w:ascii="宋体" w:hAnsi="宋体"/>
                <w:szCs w:val="21"/>
              </w:rPr>
              <w:t>商品和服务支出</w:t>
            </w:r>
          </w:p>
        </w:tc>
        <w:tc>
          <w:tcPr>
            <w:tcW w:w="1082"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0.1</w:t>
            </w: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302</w:t>
            </w:r>
          </w:p>
        </w:tc>
        <w:tc>
          <w:tcPr>
            <w:tcW w:w="604" w:type="dxa"/>
            <w:vAlign w:val="center"/>
          </w:tcPr>
          <w:p>
            <w:pPr>
              <w:jc w:val="center"/>
              <w:rPr>
                <w:rFonts w:ascii="宋体" w:hAnsi="宋体" w:cs="Arial"/>
                <w:szCs w:val="21"/>
              </w:rPr>
            </w:pPr>
            <w:r>
              <w:rPr>
                <w:rFonts w:hint="eastAsia" w:ascii="宋体" w:hAnsi="宋体" w:cs="Arial"/>
                <w:szCs w:val="21"/>
              </w:rPr>
              <w:t>01</w:t>
            </w:r>
          </w:p>
        </w:tc>
        <w:tc>
          <w:tcPr>
            <w:tcW w:w="3403" w:type="dxa"/>
            <w:vAlign w:val="center"/>
          </w:tcPr>
          <w:p>
            <w:pPr>
              <w:rPr>
                <w:rFonts w:ascii="宋体" w:hAnsi="宋体" w:cs="宋体"/>
                <w:szCs w:val="21"/>
              </w:rPr>
            </w:pPr>
            <w:r>
              <w:rPr>
                <w:rFonts w:hint="eastAsia" w:ascii="宋体" w:hAnsi="宋体"/>
                <w:szCs w:val="21"/>
              </w:rPr>
              <w:t xml:space="preserve">  办公费</w:t>
            </w:r>
          </w:p>
        </w:tc>
        <w:tc>
          <w:tcPr>
            <w:tcW w:w="1082" w:type="dxa"/>
            <w:vAlign w:val="center"/>
          </w:tcPr>
          <w:p>
            <w:pPr>
              <w:widowControl/>
              <w:jc w:val="center"/>
              <w:rPr>
                <w:rFonts w:ascii="宋体" w:hAnsi="宋体" w:cs="宋体"/>
                <w:color w:val="000000"/>
                <w:kern w:val="0"/>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302</w:t>
            </w:r>
          </w:p>
        </w:tc>
        <w:tc>
          <w:tcPr>
            <w:tcW w:w="604" w:type="dxa"/>
            <w:vAlign w:val="center"/>
          </w:tcPr>
          <w:p>
            <w:pPr>
              <w:jc w:val="center"/>
              <w:rPr>
                <w:rFonts w:ascii="宋体" w:hAnsi="宋体" w:cs="Arial"/>
                <w:szCs w:val="21"/>
              </w:rPr>
            </w:pPr>
            <w:r>
              <w:rPr>
                <w:rFonts w:hint="eastAsia" w:ascii="宋体" w:hAnsi="宋体" w:cs="Arial"/>
                <w:szCs w:val="21"/>
              </w:rPr>
              <w:t>02</w:t>
            </w:r>
          </w:p>
        </w:tc>
        <w:tc>
          <w:tcPr>
            <w:tcW w:w="3403" w:type="dxa"/>
            <w:vAlign w:val="center"/>
          </w:tcPr>
          <w:p>
            <w:pPr>
              <w:rPr>
                <w:rFonts w:ascii="宋体" w:hAnsi="宋体" w:cs="宋体"/>
                <w:szCs w:val="21"/>
              </w:rPr>
            </w:pPr>
            <w:r>
              <w:rPr>
                <w:rFonts w:hint="eastAsia" w:ascii="宋体" w:hAnsi="宋体"/>
                <w:szCs w:val="21"/>
              </w:rPr>
              <w:t xml:space="preserve">  印刷费</w:t>
            </w:r>
          </w:p>
        </w:tc>
        <w:tc>
          <w:tcPr>
            <w:tcW w:w="1082" w:type="dxa"/>
            <w:vAlign w:val="center"/>
          </w:tcPr>
          <w:p>
            <w:pPr>
              <w:widowControl/>
              <w:jc w:val="center"/>
              <w:rPr>
                <w:rFonts w:ascii="宋体" w:hAnsi="宋体" w:cs="宋体"/>
                <w:color w:val="000000"/>
                <w:kern w:val="0"/>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302</w:t>
            </w:r>
          </w:p>
        </w:tc>
        <w:tc>
          <w:tcPr>
            <w:tcW w:w="604" w:type="dxa"/>
            <w:vAlign w:val="center"/>
          </w:tcPr>
          <w:p>
            <w:pPr>
              <w:jc w:val="center"/>
              <w:rPr>
                <w:rFonts w:ascii="宋体" w:hAnsi="宋体" w:cs="Arial"/>
                <w:szCs w:val="21"/>
              </w:rPr>
            </w:pPr>
            <w:r>
              <w:rPr>
                <w:rFonts w:hint="eastAsia" w:ascii="宋体" w:hAnsi="宋体" w:cs="Arial"/>
                <w:szCs w:val="21"/>
              </w:rPr>
              <w:t>03</w:t>
            </w:r>
          </w:p>
        </w:tc>
        <w:tc>
          <w:tcPr>
            <w:tcW w:w="3403" w:type="dxa"/>
            <w:vAlign w:val="center"/>
          </w:tcPr>
          <w:p>
            <w:pPr>
              <w:rPr>
                <w:rFonts w:ascii="宋体" w:hAnsi="宋体" w:cs="宋体"/>
                <w:szCs w:val="21"/>
              </w:rPr>
            </w:pPr>
            <w:r>
              <w:rPr>
                <w:rFonts w:hint="eastAsia" w:ascii="宋体" w:hAnsi="宋体"/>
                <w:szCs w:val="21"/>
              </w:rPr>
              <w:t xml:space="preserve">  咨询费</w:t>
            </w:r>
          </w:p>
        </w:tc>
        <w:tc>
          <w:tcPr>
            <w:tcW w:w="1082" w:type="dxa"/>
            <w:vAlign w:val="center"/>
          </w:tcPr>
          <w:p>
            <w:pPr>
              <w:widowControl/>
              <w:jc w:val="center"/>
              <w:rPr>
                <w:rFonts w:ascii="宋体" w:hAnsi="宋体" w:cs="宋体"/>
                <w:color w:val="000000"/>
                <w:kern w:val="0"/>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302</w:t>
            </w:r>
          </w:p>
        </w:tc>
        <w:tc>
          <w:tcPr>
            <w:tcW w:w="604" w:type="dxa"/>
            <w:vAlign w:val="center"/>
          </w:tcPr>
          <w:p>
            <w:pPr>
              <w:jc w:val="center"/>
              <w:rPr>
                <w:rFonts w:ascii="宋体" w:hAnsi="宋体" w:cs="Arial"/>
                <w:szCs w:val="21"/>
              </w:rPr>
            </w:pPr>
            <w:r>
              <w:rPr>
                <w:rFonts w:hint="eastAsia" w:ascii="宋体" w:hAnsi="宋体" w:cs="Arial"/>
                <w:szCs w:val="21"/>
              </w:rPr>
              <w:t>04</w:t>
            </w:r>
          </w:p>
        </w:tc>
        <w:tc>
          <w:tcPr>
            <w:tcW w:w="3403" w:type="dxa"/>
            <w:vAlign w:val="center"/>
          </w:tcPr>
          <w:p>
            <w:pPr>
              <w:rPr>
                <w:rFonts w:ascii="宋体" w:hAnsi="宋体" w:cs="宋体"/>
                <w:szCs w:val="21"/>
              </w:rPr>
            </w:pPr>
            <w:r>
              <w:rPr>
                <w:rFonts w:hint="eastAsia" w:ascii="宋体" w:hAnsi="宋体"/>
                <w:szCs w:val="21"/>
              </w:rPr>
              <w:t xml:space="preserve">  手续费</w:t>
            </w:r>
          </w:p>
        </w:tc>
        <w:tc>
          <w:tcPr>
            <w:tcW w:w="1082" w:type="dxa"/>
            <w:vAlign w:val="center"/>
          </w:tcPr>
          <w:p>
            <w:pPr>
              <w:widowControl/>
              <w:jc w:val="center"/>
              <w:rPr>
                <w:rFonts w:ascii="宋体" w:hAnsi="宋体" w:cs="宋体"/>
                <w:color w:val="000000"/>
                <w:kern w:val="0"/>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302</w:t>
            </w:r>
          </w:p>
        </w:tc>
        <w:tc>
          <w:tcPr>
            <w:tcW w:w="604" w:type="dxa"/>
            <w:vAlign w:val="center"/>
          </w:tcPr>
          <w:p>
            <w:pPr>
              <w:jc w:val="center"/>
              <w:rPr>
                <w:rFonts w:ascii="宋体" w:hAnsi="宋体" w:cs="Arial"/>
                <w:szCs w:val="21"/>
              </w:rPr>
            </w:pPr>
            <w:r>
              <w:rPr>
                <w:rFonts w:hint="eastAsia" w:ascii="宋体" w:hAnsi="宋体" w:cs="Arial"/>
                <w:szCs w:val="21"/>
              </w:rPr>
              <w:t>05</w:t>
            </w:r>
          </w:p>
        </w:tc>
        <w:tc>
          <w:tcPr>
            <w:tcW w:w="3403" w:type="dxa"/>
            <w:vAlign w:val="center"/>
          </w:tcPr>
          <w:p>
            <w:pPr>
              <w:rPr>
                <w:rFonts w:ascii="宋体" w:hAnsi="宋体" w:cs="宋体"/>
                <w:szCs w:val="21"/>
              </w:rPr>
            </w:pPr>
            <w:r>
              <w:rPr>
                <w:rFonts w:hint="eastAsia" w:ascii="宋体" w:hAnsi="宋体"/>
                <w:szCs w:val="21"/>
              </w:rPr>
              <w:t xml:space="preserve">  水费</w:t>
            </w:r>
          </w:p>
        </w:tc>
        <w:tc>
          <w:tcPr>
            <w:tcW w:w="1082" w:type="dxa"/>
            <w:vAlign w:val="center"/>
          </w:tcPr>
          <w:p>
            <w:pPr>
              <w:widowControl/>
              <w:jc w:val="center"/>
              <w:rPr>
                <w:rFonts w:ascii="宋体" w:hAnsi="宋体" w:cs="宋体"/>
                <w:color w:val="000000"/>
                <w:kern w:val="0"/>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302</w:t>
            </w:r>
          </w:p>
        </w:tc>
        <w:tc>
          <w:tcPr>
            <w:tcW w:w="604" w:type="dxa"/>
            <w:vAlign w:val="center"/>
          </w:tcPr>
          <w:p>
            <w:pPr>
              <w:jc w:val="center"/>
              <w:rPr>
                <w:rFonts w:ascii="宋体" w:hAnsi="宋体" w:cs="Arial"/>
                <w:szCs w:val="21"/>
              </w:rPr>
            </w:pPr>
            <w:r>
              <w:rPr>
                <w:rFonts w:hint="eastAsia" w:ascii="宋体" w:hAnsi="宋体" w:cs="Arial"/>
                <w:szCs w:val="21"/>
              </w:rPr>
              <w:t>06</w:t>
            </w:r>
          </w:p>
        </w:tc>
        <w:tc>
          <w:tcPr>
            <w:tcW w:w="3403" w:type="dxa"/>
            <w:vAlign w:val="center"/>
          </w:tcPr>
          <w:p>
            <w:pPr>
              <w:rPr>
                <w:rFonts w:ascii="宋体" w:hAnsi="宋体" w:cs="宋体"/>
                <w:szCs w:val="21"/>
              </w:rPr>
            </w:pPr>
            <w:r>
              <w:rPr>
                <w:rFonts w:hint="eastAsia" w:ascii="宋体" w:hAnsi="宋体"/>
                <w:szCs w:val="21"/>
              </w:rPr>
              <w:t xml:space="preserve">  电费</w:t>
            </w:r>
          </w:p>
        </w:tc>
        <w:tc>
          <w:tcPr>
            <w:tcW w:w="1082" w:type="dxa"/>
            <w:vAlign w:val="center"/>
          </w:tcPr>
          <w:p>
            <w:pPr>
              <w:widowControl/>
              <w:jc w:val="center"/>
              <w:rPr>
                <w:rFonts w:ascii="宋体" w:hAnsi="宋体" w:cs="宋体"/>
                <w:color w:val="000000"/>
                <w:kern w:val="0"/>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302</w:t>
            </w:r>
          </w:p>
        </w:tc>
        <w:tc>
          <w:tcPr>
            <w:tcW w:w="604" w:type="dxa"/>
            <w:vAlign w:val="center"/>
          </w:tcPr>
          <w:p>
            <w:pPr>
              <w:jc w:val="center"/>
              <w:rPr>
                <w:rFonts w:ascii="宋体" w:hAnsi="宋体" w:cs="Arial"/>
                <w:szCs w:val="21"/>
              </w:rPr>
            </w:pPr>
            <w:r>
              <w:rPr>
                <w:rFonts w:hint="eastAsia" w:ascii="宋体" w:hAnsi="宋体" w:cs="Arial"/>
                <w:szCs w:val="21"/>
              </w:rPr>
              <w:t>07</w:t>
            </w:r>
          </w:p>
        </w:tc>
        <w:tc>
          <w:tcPr>
            <w:tcW w:w="3403" w:type="dxa"/>
            <w:vAlign w:val="center"/>
          </w:tcPr>
          <w:p>
            <w:pPr>
              <w:rPr>
                <w:rFonts w:ascii="宋体" w:hAnsi="宋体" w:cs="宋体"/>
                <w:szCs w:val="21"/>
              </w:rPr>
            </w:pPr>
            <w:r>
              <w:rPr>
                <w:rFonts w:hint="eastAsia" w:ascii="宋体" w:hAnsi="宋体"/>
                <w:szCs w:val="21"/>
              </w:rPr>
              <w:t xml:space="preserve">  邮电费</w:t>
            </w:r>
          </w:p>
        </w:tc>
        <w:tc>
          <w:tcPr>
            <w:tcW w:w="1082" w:type="dxa"/>
            <w:vAlign w:val="center"/>
          </w:tcPr>
          <w:p>
            <w:pPr>
              <w:widowControl/>
              <w:jc w:val="center"/>
              <w:rPr>
                <w:rFonts w:ascii="宋体" w:hAnsi="宋体" w:cs="宋体"/>
                <w:color w:val="000000"/>
                <w:kern w:val="0"/>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302</w:t>
            </w:r>
          </w:p>
        </w:tc>
        <w:tc>
          <w:tcPr>
            <w:tcW w:w="604" w:type="dxa"/>
            <w:vAlign w:val="center"/>
          </w:tcPr>
          <w:p>
            <w:pPr>
              <w:jc w:val="center"/>
              <w:rPr>
                <w:rFonts w:ascii="宋体" w:hAnsi="宋体" w:cs="Arial"/>
                <w:szCs w:val="21"/>
              </w:rPr>
            </w:pPr>
            <w:r>
              <w:rPr>
                <w:rFonts w:hint="eastAsia" w:ascii="宋体" w:hAnsi="宋体" w:cs="Arial"/>
                <w:szCs w:val="21"/>
              </w:rPr>
              <w:t>08</w:t>
            </w:r>
          </w:p>
        </w:tc>
        <w:tc>
          <w:tcPr>
            <w:tcW w:w="3403" w:type="dxa"/>
            <w:vAlign w:val="center"/>
          </w:tcPr>
          <w:p>
            <w:pPr>
              <w:rPr>
                <w:rFonts w:ascii="宋体" w:hAnsi="宋体" w:cs="宋体"/>
                <w:szCs w:val="21"/>
              </w:rPr>
            </w:pPr>
            <w:r>
              <w:rPr>
                <w:rFonts w:hint="eastAsia" w:ascii="宋体" w:hAnsi="宋体"/>
                <w:szCs w:val="21"/>
              </w:rPr>
              <w:t xml:space="preserve">  取暖费</w:t>
            </w:r>
          </w:p>
        </w:tc>
        <w:tc>
          <w:tcPr>
            <w:tcW w:w="1082" w:type="dxa"/>
            <w:vAlign w:val="center"/>
          </w:tcPr>
          <w:p>
            <w:pPr>
              <w:widowControl/>
              <w:jc w:val="center"/>
              <w:rPr>
                <w:rFonts w:ascii="宋体" w:hAnsi="宋体" w:cs="宋体"/>
                <w:color w:val="000000"/>
                <w:kern w:val="0"/>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302</w:t>
            </w:r>
          </w:p>
        </w:tc>
        <w:tc>
          <w:tcPr>
            <w:tcW w:w="604" w:type="dxa"/>
            <w:vAlign w:val="center"/>
          </w:tcPr>
          <w:p>
            <w:pPr>
              <w:jc w:val="center"/>
              <w:rPr>
                <w:rFonts w:ascii="宋体" w:hAnsi="宋体" w:cs="Arial"/>
                <w:szCs w:val="21"/>
              </w:rPr>
            </w:pPr>
            <w:r>
              <w:rPr>
                <w:rFonts w:hint="eastAsia" w:ascii="宋体" w:hAnsi="宋体" w:cs="Arial"/>
                <w:szCs w:val="21"/>
              </w:rPr>
              <w:t>09</w:t>
            </w:r>
          </w:p>
        </w:tc>
        <w:tc>
          <w:tcPr>
            <w:tcW w:w="3403" w:type="dxa"/>
            <w:vAlign w:val="center"/>
          </w:tcPr>
          <w:p>
            <w:pPr>
              <w:rPr>
                <w:rFonts w:ascii="宋体" w:hAnsi="宋体" w:cs="宋体"/>
                <w:szCs w:val="21"/>
              </w:rPr>
            </w:pPr>
            <w:r>
              <w:rPr>
                <w:rFonts w:hint="eastAsia" w:ascii="宋体" w:hAnsi="宋体"/>
                <w:szCs w:val="21"/>
              </w:rPr>
              <w:t xml:space="preserve">  物业管理费</w:t>
            </w:r>
          </w:p>
        </w:tc>
        <w:tc>
          <w:tcPr>
            <w:tcW w:w="1082" w:type="dxa"/>
            <w:vAlign w:val="center"/>
          </w:tcPr>
          <w:p>
            <w:pPr>
              <w:widowControl/>
              <w:jc w:val="center"/>
              <w:rPr>
                <w:rFonts w:ascii="宋体" w:hAnsi="宋体" w:cs="宋体"/>
                <w:color w:val="000000"/>
                <w:kern w:val="0"/>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302</w:t>
            </w:r>
          </w:p>
        </w:tc>
        <w:tc>
          <w:tcPr>
            <w:tcW w:w="604" w:type="dxa"/>
            <w:vAlign w:val="center"/>
          </w:tcPr>
          <w:p>
            <w:pPr>
              <w:jc w:val="center"/>
              <w:rPr>
                <w:rFonts w:ascii="宋体" w:hAnsi="宋体" w:cs="Arial"/>
                <w:szCs w:val="21"/>
              </w:rPr>
            </w:pPr>
            <w:r>
              <w:rPr>
                <w:rFonts w:hint="eastAsia" w:ascii="宋体" w:hAnsi="宋体" w:cs="Arial"/>
                <w:szCs w:val="21"/>
              </w:rPr>
              <w:t>11</w:t>
            </w:r>
          </w:p>
        </w:tc>
        <w:tc>
          <w:tcPr>
            <w:tcW w:w="3403" w:type="dxa"/>
            <w:vAlign w:val="center"/>
          </w:tcPr>
          <w:p>
            <w:pPr>
              <w:rPr>
                <w:rFonts w:ascii="宋体" w:hAnsi="宋体" w:cs="宋体"/>
                <w:szCs w:val="21"/>
              </w:rPr>
            </w:pPr>
            <w:r>
              <w:rPr>
                <w:rFonts w:hint="eastAsia" w:ascii="宋体" w:hAnsi="宋体"/>
                <w:szCs w:val="21"/>
              </w:rPr>
              <w:t xml:space="preserve">  差旅费</w:t>
            </w:r>
          </w:p>
        </w:tc>
        <w:tc>
          <w:tcPr>
            <w:tcW w:w="1082" w:type="dxa"/>
            <w:vAlign w:val="center"/>
          </w:tcPr>
          <w:p>
            <w:pPr>
              <w:widowControl/>
              <w:jc w:val="center"/>
              <w:rPr>
                <w:rFonts w:ascii="宋体" w:hAnsi="宋体" w:cs="宋体"/>
                <w:color w:val="000000"/>
                <w:kern w:val="0"/>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302</w:t>
            </w:r>
          </w:p>
        </w:tc>
        <w:tc>
          <w:tcPr>
            <w:tcW w:w="604" w:type="dxa"/>
            <w:vAlign w:val="center"/>
          </w:tcPr>
          <w:p>
            <w:pPr>
              <w:jc w:val="center"/>
              <w:rPr>
                <w:rFonts w:ascii="宋体" w:hAnsi="宋体" w:cs="Arial"/>
                <w:szCs w:val="21"/>
              </w:rPr>
            </w:pPr>
            <w:r>
              <w:rPr>
                <w:rFonts w:hint="eastAsia" w:ascii="宋体" w:hAnsi="宋体" w:cs="Arial"/>
                <w:szCs w:val="21"/>
              </w:rPr>
              <w:t>12</w:t>
            </w:r>
          </w:p>
        </w:tc>
        <w:tc>
          <w:tcPr>
            <w:tcW w:w="3403" w:type="dxa"/>
            <w:vAlign w:val="center"/>
          </w:tcPr>
          <w:p>
            <w:pPr>
              <w:rPr>
                <w:rFonts w:ascii="宋体" w:hAnsi="宋体" w:cs="宋体"/>
                <w:szCs w:val="21"/>
              </w:rPr>
            </w:pPr>
            <w:r>
              <w:rPr>
                <w:rFonts w:hint="eastAsia" w:ascii="宋体" w:hAnsi="宋体"/>
                <w:szCs w:val="21"/>
              </w:rPr>
              <w:t xml:space="preserve">  因公出国（境）费用 </w:t>
            </w:r>
          </w:p>
        </w:tc>
        <w:tc>
          <w:tcPr>
            <w:tcW w:w="1082" w:type="dxa"/>
            <w:vAlign w:val="center"/>
          </w:tcPr>
          <w:p>
            <w:pPr>
              <w:widowControl/>
              <w:jc w:val="center"/>
              <w:rPr>
                <w:rFonts w:ascii="宋体" w:hAnsi="宋体" w:cs="宋体"/>
                <w:color w:val="000000"/>
                <w:kern w:val="0"/>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302</w:t>
            </w:r>
          </w:p>
        </w:tc>
        <w:tc>
          <w:tcPr>
            <w:tcW w:w="604" w:type="dxa"/>
            <w:vAlign w:val="center"/>
          </w:tcPr>
          <w:p>
            <w:pPr>
              <w:jc w:val="center"/>
              <w:rPr>
                <w:rFonts w:ascii="宋体" w:hAnsi="宋体" w:cs="Arial"/>
                <w:szCs w:val="21"/>
              </w:rPr>
            </w:pPr>
            <w:r>
              <w:rPr>
                <w:rFonts w:hint="eastAsia" w:ascii="宋体" w:hAnsi="宋体" w:cs="Arial"/>
                <w:szCs w:val="21"/>
              </w:rPr>
              <w:t>13</w:t>
            </w:r>
          </w:p>
        </w:tc>
        <w:tc>
          <w:tcPr>
            <w:tcW w:w="3403" w:type="dxa"/>
            <w:vAlign w:val="center"/>
          </w:tcPr>
          <w:p>
            <w:pPr>
              <w:rPr>
                <w:rFonts w:ascii="宋体" w:hAnsi="宋体" w:cs="宋体"/>
                <w:szCs w:val="21"/>
              </w:rPr>
            </w:pPr>
            <w:r>
              <w:rPr>
                <w:rFonts w:hint="eastAsia" w:ascii="宋体" w:hAnsi="宋体"/>
                <w:szCs w:val="21"/>
              </w:rPr>
              <w:t xml:space="preserve">  维修（护）费</w:t>
            </w:r>
          </w:p>
        </w:tc>
        <w:tc>
          <w:tcPr>
            <w:tcW w:w="1082" w:type="dxa"/>
            <w:vAlign w:val="center"/>
          </w:tcPr>
          <w:p>
            <w:pPr>
              <w:widowControl/>
              <w:jc w:val="center"/>
              <w:rPr>
                <w:rFonts w:ascii="宋体" w:hAnsi="宋体" w:cs="宋体"/>
                <w:color w:val="000000"/>
                <w:kern w:val="0"/>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302</w:t>
            </w:r>
          </w:p>
        </w:tc>
        <w:tc>
          <w:tcPr>
            <w:tcW w:w="604" w:type="dxa"/>
            <w:vAlign w:val="center"/>
          </w:tcPr>
          <w:p>
            <w:pPr>
              <w:jc w:val="center"/>
              <w:rPr>
                <w:rFonts w:ascii="宋体" w:hAnsi="宋体" w:cs="Arial"/>
                <w:szCs w:val="21"/>
              </w:rPr>
            </w:pPr>
            <w:r>
              <w:rPr>
                <w:rFonts w:hint="eastAsia" w:ascii="宋体" w:hAnsi="宋体" w:cs="Arial"/>
                <w:szCs w:val="21"/>
              </w:rPr>
              <w:t>14</w:t>
            </w:r>
          </w:p>
        </w:tc>
        <w:tc>
          <w:tcPr>
            <w:tcW w:w="3403" w:type="dxa"/>
            <w:vAlign w:val="center"/>
          </w:tcPr>
          <w:p>
            <w:pPr>
              <w:rPr>
                <w:rFonts w:ascii="宋体" w:hAnsi="宋体" w:cs="宋体"/>
                <w:szCs w:val="21"/>
              </w:rPr>
            </w:pPr>
            <w:r>
              <w:rPr>
                <w:rFonts w:hint="eastAsia" w:ascii="宋体" w:hAnsi="宋体"/>
                <w:szCs w:val="21"/>
              </w:rPr>
              <w:t xml:space="preserve">  租赁费</w:t>
            </w:r>
          </w:p>
        </w:tc>
        <w:tc>
          <w:tcPr>
            <w:tcW w:w="1082" w:type="dxa"/>
            <w:vAlign w:val="center"/>
          </w:tcPr>
          <w:p>
            <w:pPr>
              <w:widowControl/>
              <w:jc w:val="center"/>
              <w:rPr>
                <w:rFonts w:ascii="宋体" w:hAnsi="宋体" w:cs="宋体"/>
                <w:color w:val="000000"/>
                <w:kern w:val="0"/>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302</w:t>
            </w:r>
          </w:p>
        </w:tc>
        <w:tc>
          <w:tcPr>
            <w:tcW w:w="604" w:type="dxa"/>
            <w:vAlign w:val="center"/>
          </w:tcPr>
          <w:p>
            <w:pPr>
              <w:jc w:val="center"/>
              <w:rPr>
                <w:rFonts w:ascii="宋体" w:hAnsi="宋体" w:cs="Arial"/>
                <w:szCs w:val="21"/>
              </w:rPr>
            </w:pPr>
            <w:r>
              <w:rPr>
                <w:rFonts w:hint="eastAsia" w:ascii="宋体" w:hAnsi="宋体" w:cs="Arial"/>
                <w:szCs w:val="21"/>
              </w:rPr>
              <w:t>15</w:t>
            </w:r>
          </w:p>
        </w:tc>
        <w:tc>
          <w:tcPr>
            <w:tcW w:w="3403" w:type="dxa"/>
            <w:vAlign w:val="center"/>
          </w:tcPr>
          <w:p>
            <w:pPr>
              <w:rPr>
                <w:rFonts w:ascii="宋体" w:hAnsi="宋体" w:cs="宋体"/>
                <w:szCs w:val="21"/>
              </w:rPr>
            </w:pPr>
            <w:r>
              <w:rPr>
                <w:rFonts w:hint="eastAsia" w:ascii="宋体" w:hAnsi="宋体"/>
                <w:szCs w:val="21"/>
              </w:rPr>
              <w:t xml:space="preserve">  会议费</w:t>
            </w:r>
          </w:p>
        </w:tc>
        <w:tc>
          <w:tcPr>
            <w:tcW w:w="1082" w:type="dxa"/>
            <w:vAlign w:val="center"/>
          </w:tcPr>
          <w:p>
            <w:pPr>
              <w:widowControl/>
              <w:jc w:val="center"/>
              <w:rPr>
                <w:rFonts w:ascii="宋体" w:hAnsi="宋体" w:cs="宋体"/>
                <w:color w:val="000000"/>
                <w:kern w:val="0"/>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302</w:t>
            </w:r>
          </w:p>
        </w:tc>
        <w:tc>
          <w:tcPr>
            <w:tcW w:w="604" w:type="dxa"/>
            <w:vAlign w:val="center"/>
          </w:tcPr>
          <w:p>
            <w:pPr>
              <w:jc w:val="center"/>
              <w:rPr>
                <w:rFonts w:ascii="宋体" w:hAnsi="宋体" w:cs="Arial"/>
                <w:szCs w:val="21"/>
              </w:rPr>
            </w:pPr>
            <w:r>
              <w:rPr>
                <w:rFonts w:hint="eastAsia" w:ascii="宋体" w:hAnsi="宋体" w:cs="Arial"/>
                <w:szCs w:val="21"/>
              </w:rPr>
              <w:t>16</w:t>
            </w:r>
          </w:p>
        </w:tc>
        <w:tc>
          <w:tcPr>
            <w:tcW w:w="3403" w:type="dxa"/>
            <w:vAlign w:val="center"/>
          </w:tcPr>
          <w:p>
            <w:pPr>
              <w:rPr>
                <w:rFonts w:ascii="宋体" w:hAnsi="宋体" w:cs="宋体"/>
                <w:szCs w:val="21"/>
              </w:rPr>
            </w:pPr>
            <w:r>
              <w:rPr>
                <w:rFonts w:hint="eastAsia" w:ascii="宋体" w:hAnsi="宋体"/>
                <w:szCs w:val="21"/>
              </w:rPr>
              <w:t xml:space="preserve">  培训费</w:t>
            </w:r>
          </w:p>
        </w:tc>
        <w:tc>
          <w:tcPr>
            <w:tcW w:w="1082" w:type="dxa"/>
            <w:vAlign w:val="center"/>
          </w:tcPr>
          <w:p>
            <w:pPr>
              <w:widowControl/>
              <w:jc w:val="center"/>
              <w:rPr>
                <w:rFonts w:ascii="宋体" w:hAnsi="宋体" w:cs="宋体"/>
                <w:color w:val="000000"/>
                <w:kern w:val="0"/>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302</w:t>
            </w:r>
          </w:p>
        </w:tc>
        <w:tc>
          <w:tcPr>
            <w:tcW w:w="604" w:type="dxa"/>
            <w:vAlign w:val="center"/>
          </w:tcPr>
          <w:p>
            <w:pPr>
              <w:jc w:val="center"/>
              <w:rPr>
                <w:rFonts w:ascii="宋体" w:hAnsi="宋体" w:cs="Arial"/>
                <w:szCs w:val="21"/>
              </w:rPr>
            </w:pPr>
            <w:r>
              <w:rPr>
                <w:rFonts w:hint="eastAsia" w:ascii="宋体" w:hAnsi="宋体" w:cs="Arial"/>
                <w:szCs w:val="21"/>
              </w:rPr>
              <w:t>17</w:t>
            </w:r>
          </w:p>
        </w:tc>
        <w:tc>
          <w:tcPr>
            <w:tcW w:w="3403" w:type="dxa"/>
            <w:vAlign w:val="center"/>
          </w:tcPr>
          <w:p>
            <w:pPr>
              <w:rPr>
                <w:rFonts w:ascii="宋体" w:hAnsi="宋体" w:cs="宋体"/>
                <w:szCs w:val="21"/>
              </w:rPr>
            </w:pPr>
            <w:r>
              <w:rPr>
                <w:rFonts w:hint="eastAsia" w:ascii="宋体" w:hAnsi="宋体"/>
                <w:szCs w:val="21"/>
              </w:rPr>
              <w:t xml:space="preserve">  公务接待费</w:t>
            </w:r>
          </w:p>
        </w:tc>
        <w:tc>
          <w:tcPr>
            <w:tcW w:w="1082" w:type="dxa"/>
            <w:vAlign w:val="center"/>
          </w:tcPr>
          <w:p>
            <w:pPr>
              <w:widowControl/>
              <w:jc w:val="center"/>
              <w:rPr>
                <w:rFonts w:ascii="宋体" w:hAnsi="宋体" w:cs="宋体"/>
                <w:color w:val="000000"/>
                <w:kern w:val="0"/>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302</w:t>
            </w:r>
          </w:p>
        </w:tc>
        <w:tc>
          <w:tcPr>
            <w:tcW w:w="604" w:type="dxa"/>
            <w:vAlign w:val="center"/>
          </w:tcPr>
          <w:p>
            <w:pPr>
              <w:jc w:val="center"/>
              <w:rPr>
                <w:rFonts w:ascii="宋体" w:hAnsi="宋体" w:cs="Arial"/>
                <w:szCs w:val="21"/>
              </w:rPr>
            </w:pPr>
            <w:r>
              <w:rPr>
                <w:rFonts w:hint="eastAsia" w:ascii="宋体" w:hAnsi="宋体" w:cs="Arial"/>
                <w:szCs w:val="21"/>
              </w:rPr>
              <w:t>18</w:t>
            </w:r>
          </w:p>
        </w:tc>
        <w:tc>
          <w:tcPr>
            <w:tcW w:w="3403" w:type="dxa"/>
            <w:vAlign w:val="center"/>
          </w:tcPr>
          <w:p>
            <w:pPr>
              <w:rPr>
                <w:rFonts w:ascii="宋体" w:hAnsi="宋体" w:cs="宋体"/>
                <w:szCs w:val="21"/>
              </w:rPr>
            </w:pPr>
            <w:r>
              <w:rPr>
                <w:rFonts w:hint="eastAsia" w:ascii="宋体" w:hAnsi="宋体"/>
                <w:szCs w:val="21"/>
              </w:rPr>
              <w:t xml:space="preserve">  专用材料费</w:t>
            </w:r>
          </w:p>
        </w:tc>
        <w:tc>
          <w:tcPr>
            <w:tcW w:w="1082" w:type="dxa"/>
            <w:vAlign w:val="center"/>
          </w:tcPr>
          <w:p>
            <w:pPr>
              <w:widowControl/>
              <w:jc w:val="center"/>
              <w:rPr>
                <w:rFonts w:ascii="宋体" w:hAnsi="宋体" w:cs="宋体"/>
                <w:color w:val="000000"/>
                <w:kern w:val="0"/>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302</w:t>
            </w:r>
          </w:p>
        </w:tc>
        <w:tc>
          <w:tcPr>
            <w:tcW w:w="604" w:type="dxa"/>
            <w:vAlign w:val="center"/>
          </w:tcPr>
          <w:p>
            <w:pPr>
              <w:jc w:val="center"/>
              <w:rPr>
                <w:rFonts w:ascii="宋体" w:hAnsi="宋体" w:cs="Arial"/>
                <w:szCs w:val="21"/>
              </w:rPr>
            </w:pPr>
            <w:r>
              <w:rPr>
                <w:rFonts w:hint="eastAsia" w:ascii="宋体" w:hAnsi="宋体" w:cs="Arial"/>
                <w:szCs w:val="21"/>
              </w:rPr>
              <w:t>24</w:t>
            </w:r>
          </w:p>
        </w:tc>
        <w:tc>
          <w:tcPr>
            <w:tcW w:w="3403" w:type="dxa"/>
            <w:vAlign w:val="center"/>
          </w:tcPr>
          <w:p>
            <w:pPr>
              <w:rPr>
                <w:rFonts w:ascii="宋体" w:hAnsi="宋体" w:cs="宋体"/>
                <w:szCs w:val="21"/>
              </w:rPr>
            </w:pPr>
            <w:r>
              <w:rPr>
                <w:rFonts w:hint="eastAsia" w:ascii="宋体" w:hAnsi="宋体"/>
                <w:szCs w:val="21"/>
              </w:rPr>
              <w:t xml:space="preserve">  被装购置费</w:t>
            </w:r>
          </w:p>
        </w:tc>
        <w:tc>
          <w:tcPr>
            <w:tcW w:w="1082" w:type="dxa"/>
            <w:vAlign w:val="center"/>
          </w:tcPr>
          <w:p>
            <w:pPr>
              <w:widowControl/>
              <w:jc w:val="center"/>
              <w:rPr>
                <w:rFonts w:ascii="宋体" w:hAnsi="宋体" w:cs="宋体"/>
                <w:color w:val="000000"/>
                <w:kern w:val="0"/>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302</w:t>
            </w:r>
          </w:p>
        </w:tc>
        <w:tc>
          <w:tcPr>
            <w:tcW w:w="604" w:type="dxa"/>
            <w:vAlign w:val="center"/>
          </w:tcPr>
          <w:p>
            <w:pPr>
              <w:jc w:val="center"/>
              <w:rPr>
                <w:rFonts w:ascii="宋体" w:hAnsi="宋体" w:cs="Arial"/>
                <w:szCs w:val="21"/>
              </w:rPr>
            </w:pPr>
            <w:r>
              <w:rPr>
                <w:rFonts w:hint="eastAsia" w:ascii="宋体" w:hAnsi="宋体" w:cs="Arial"/>
                <w:szCs w:val="21"/>
              </w:rPr>
              <w:t>25</w:t>
            </w:r>
          </w:p>
        </w:tc>
        <w:tc>
          <w:tcPr>
            <w:tcW w:w="3403" w:type="dxa"/>
            <w:vAlign w:val="center"/>
          </w:tcPr>
          <w:p>
            <w:pPr>
              <w:rPr>
                <w:rFonts w:ascii="宋体" w:hAnsi="宋体" w:cs="宋体"/>
                <w:szCs w:val="21"/>
              </w:rPr>
            </w:pPr>
            <w:r>
              <w:rPr>
                <w:rFonts w:hint="eastAsia" w:ascii="宋体" w:hAnsi="宋体"/>
                <w:szCs w:val="21"/>
              </w:rPr>
              <w:t xml:space="preserve">  专用燃料费</w:t>
            </w:r>
          </w:p>
        </w:tc>
        <w:tc>
          <w:tcPr>
            <w:tcW w:w="1082" w:type="dxa"/>
            <w:vAlign w:val="center"/>
          </w:tcPr>
          <w:p>
            <w:pPr>
              <w:widowControl/>
              <w:jc w:val="center"/>
              <w:rPr>
                <w:rFonts w:ascii="宋体" w:hAnsi="宋体" w:cs="宋体"/>
                <w:color w:val="000000"/>
                <w:kern w:val="0"/>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302</w:t>
            </w:r>
          </w:p>
        </w:tc>
        <w:tc>
          <w:tcPr>
            <w:tcW w:w="604" w:type="dxa"/>
            <w:vAlign w:val="center"/>
          </w:tcPr>
          <w:p>
            <w:pPr>
              <w:jc w:val="center"/>
              <w:rPr>
                <w:rFonts w:ascii="宋体" w:hAnsi="宋体" w:cs="Arial"/>
                <w:szCs w:val="21"/>
              </w:rPr>
            </w:pPr>
            <w:r>
              <w:rPr>
                <w:rFonts w:hint="eastAsia" w:ascii="宋体" w:hAnsi="宋体" w:cs="Arial"/>
                <w:szCs w:val="21"/>
              </w:rPr>
              <w:t>26</w:t>
            </w:r>
          </w:p>
        </w:tc>
        <w:tc>
          <w:tcPr>
            <w:tcW w:w="3403" w:type="dxa"/>
            <w:vAlign w:val="center"/>
          </w:tcPr>
          <w:p>
            <w:pPr>
              <w:rPr>
                <w:rFonts w:ascii="宋体" w:hAnsi="宋体" w:cs="宋体"/>
                <w:szCs w:val="21"/>
              </w:rPr>
            </w:pPr>
            <w:r>
              <w:rPr>
                <w:rFonts w:hint="eastAsia" w:ascii="宋体" w:hAnsi="宋体"/>
                <w:szCs w:val="21"/>
              </w:rPr>
              <w:t xml:space="preserve">  劳务费</w:t>
            </w:r>
          </w:p>
        </w:tc>
        <w:tc>
          <w:tcPr>
            <w:tcW w:w="1082" w:type="dxa"/>
            <w:vAlign w:val="center"/>
          </w:tcPr>
          <w:p>
            <w:pPr>
              <w:widowControl/>
              <w:jc w:val="center"/>
              <w:rPr>
                <w:rFonts w:ascii="宋体" w:hAnsi="宋体" w:cs="宋体"/>
                <w:color w:val="000000"/>
                <w:kern w:val="0"/>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302</w:t>
            </w:r>
          </w:p>
        </w:tc>
        <w:tc>
          <w:tcPr>
            <w:tcW w:w="604" w:type="dxa"/>
            <w:vAlign w:val="center"/>
          </w:tcPr>
          <w:p>
            <w:pPr>
              <w:jc w:val="center"/>
              <w:rPr>
                <w:rFonts w:ascii="宋体" w:hAnsi="宋体" w:cs="Arial"/>
                <w:szCs w:val="21"/>
              </w:rPr>
            </w:pPr>
            <w:r>
              <w:rPr>
                <w:rFonts w:hint="eastAsia" w:ascii="宋体" w:hAnsi="宋体" w:cs="Arial"/>
                <w:szCs w:val="21"/>
              </w:rPr>
              <w:t>27</w:t>
            </w:r>
          </w:p>
        </w:tc>
        <w:tc>
          <w:tcPr>
            <w:tcW w:w="3403" w:type="dxa"/>
            <w:vAlign w:val="center"/>
          </w:tcPr>
          <w:p>
            <w:pPr>
              <w:rPr>
                <w:rFonts w:ascii="宋体" w:hAnsi="宋体" w:cs="宋体"/>
                <w:szCs w:val="21"/>
              </w:rPr>
            </w:pPr>
            <w:r>
              <w:rPr>
                <w:rFonts w:hint="eastAsia" w:ascii="宋体" w:hAnsi="宋体"/>
                <w:szCs w:val="21"/>
              </w:rPr>
              <w:t xml:space="preserve">  委托业务费</w:t>
            </w:r>
          </w:p>
        </w:tc>
        <w:tc>
          <w:tcPr>
            <w:tcW w:w="1082" w:type="dxa"/>
            <w:vAlign w:val="center"/>
          </w:tcPr>
          <w:p>
            <w:pPr>
              <w:widowControl/>
              <w:jc w:val="center"/>
              <w:rPr>
                <w:rFonts w:ascii="宋体" w:hAnsi="宋体" w:cs="宋体"/>
                <w:color w:val="000000"/>
                <w:kern w:val="0"/>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302</w:t>
            </w:r>
          </w:p>
        </w:tc>
        <w:tc>
          <w:tcPr>
            <w:tcW w:w="604" w:type="dxa"/>
            <w:vAlign w:val="center"/>
          </w:tcPr>
          <w:p>
            <w:pPr>
              <w:jc w:val="center"/>
              <w:rPr>
                <w:rFonts w:ascii="宋体" w:hAnsi="宋体" w:cs="Arial"/>
                <w:szCs w:val="21"/>
              </w:rPr>
            </w:pPr>
            <w:r>
              <w:rPr>
                <w:rFonts w:hint="eastAsia" w:ascii="宋体" w:hAnsi="宋体" w:cs="Arial"/>
                <w:szCs w:val="21"/>
              </w:rPr>
              <w:t>28</w:t>
            </w:r>
          </w:p>
        </w:tc>
        <w:tc>
          <w:tcPr>
            <w:tcW w:w="3403" w:type="dxa"/>
            <w:vAlign w:val="center"/>
          </w:tcPr>
          <w:p>
            <w:pPr>
              <w:rPr>
                <w:rFonts w:ascii="宋体" w:hAnsi="宋体" w:cs="宋体"/>
                <w:szCs w:val="21"/>
              </w:rPr>
            </w:pPr>
            <w:r>
              <w:rPr>
                <w:rFonts w:hint="eastAsia" w:ascii="宋体" w:hAnsi="宋体"/>
                <w:szCs w:val="21"/>
              </w:rPr>
              <w:t xml:space="preserve">  工会经费</w:t>
            </w:r>
          </w:p>
        </w:tc>
        <w:tc>
          <w:tcPr>
            <w:tcW w:w="1082" w:type="dxa"/>
            <w:vAlign w:val="center"/>
          </w:tcPr>
          <w:p>
            <w:pPr>
              <w:widowControl/>
              <w:jc w:val="center"/>
              <w:rPr>
                <w:rFonts w:ascii="宋体" w:hAnsi="宋体" w:cs="宋体"/>
                <w:color w:val="000000"/>
                <w:kern w:val="0"/>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302</w:t>
            </w:r>
          </w:p>
        </w:tc>
        <w:tc>
          <w:tcPr>
            <w:tcW w:w="604" w:type="dxa"/>
            <w:vAlign w:val="center"/>
          </w:tcPr>
          <w:p>
            <w:pPr>
              <w:jc w:val="center"/>
              <w:rPr>
                <w:rFonts w:ascii="宋体" w:hAnsi="宋体" w:cs="Arial"/>
                <w:szCs w:val="21"/>
              </w:rPr>
            </w:pPr>
            <w:r>
              <w:rPr>
                <w:rFonts w:hint="eastAsia" w:ascii="宋体" w:hAnsi="宋体" w:cs="Arial"/>
                <w:szCs w:val="21"/>
              </w:rPr>
              <w:t>29</w:t>
            </w:r>
          </w:p>
        </w:tc>
        <w:tc>
          <w:tcPr>
            <w:tcW w:w="3403" w:type="dxa"/>
            <w:vAlign w:val="center"/>
          </w:tcPr>
          <w:p>
            <w:pPr>
              <w:rPr>
                <w:rFonts w:ascii="宋体" w:hAnsi="宋体" w:cs="宋体"/>
                <w:szCs w:val="21"/>
              </w:rPr>
            </w:pPr>
            <w:r>
              <w:rPr>
                <w:rFonts w:hint="eastAsia" w:ascii="宋体" w:hAnsi="宋体"/>
                <w:szCs w:val="21"/>
              </w:rPr>
              <w:t xml:space="preserve">  福利费</w:t>
            </w:r>
          </w:p>
        </w:tc>
        <w:tc>
          <w:tcPr>
            <w:tcW w:w="1082"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0.1</w:t>
            </w: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302</w:t>
            </w:r>
          </w:p>
        </w:tc>
        <w:tc>
          <w:tcPr>
            <w:tcW w:w="604" w:type="dxa"/>
            <w:vAlign w:val="center"/>
          </w:tcPr>
          <w:p>
            <w:pPr>
              <w:jc w:val="center"/>
              <w:rPr>
                <w:rFonts w:ascii="宋体" w:hAnsi="宋体" w:cs="Arial"/>
                <w:szCs w:val="21"/>
              </w:rPr>
            </w:pPr>
            <w:r>
              <w:rPr>
                <w:rFonts w:hint="eastAsia" w:ascii="宋体" w:hAnsi="宋体" w:cs="Arial"/>
                <w:szCs w:val="21"/>
              </w:rPr>
              <w:t>31</w:t>
            </w:r>
          </w:p>
        </w:tc>
        <w:tc>
          <w:tcPr>
            <w:tcW w:w="3403" w:type="dxa"/>
            <w:vAlign w:val="center"/>
          </w:tcPr>
          <w:p>
            <w:pPr>
              <w:rPr>
                <w:rFonts w:ascii="宋体" w:hAnsi="宋体" w:cs="宋体"/>
                <w:szCs w:val="21"/>
              </w:rPr>
            </w:pPr>
            <w:r>
              <w:rPr>
                <w:rFonts w:hint="eastAsia" w:ascii="宋体" w:hAnsi="宋体"/>
                <w:szCs w:val="21"/>
              </w:rPr>
              <w:t xml:space="preserve">  公务用车运行维护费</w:t>
            </w:r>
          </w:p>
        </w:tc>
        <w:tc>
          <w:tcPr>
            <w:tcW w:w="1082" w:type="dxa"/>
            <w:vAlign w:val="center"/>
          </w:tcPr>
          <w:p>
            <w:pPr>
              <w:widowControl/>
              <w:jc w:val="center"/>
              <w:rPr>
                <w:rFonts w:ascii="宋体" w:hAnsi="宋体" w:cs="宋体"/>
                <w:color w:val="000000"/>
                <w:kern w:val="0"/>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302</w:t>
            </w:r>
          </w:p>
        </w:tc>
        <w:tc>
          <w:tcPr>
            <w:tcW w:w="604" w:type="dxa"/>
            <w:vAlign w:val="center"/>
          </w:tcPr>
          <w:p>
            <w:pPr>
              <w:jc w:val="center"/>
              <w:rPr>
                <w:rFonts w:ascii="宋体" w:hAnsi="宋体" w:cs="Arial"/>
                <w:szCs w:val="21"/>
              </w:rPr>
            </w:pPr>
            <w:r>
              <w:rPr>
                <w:rFonts w:hint="eastAsia" w:ascii="宋体" w:hAnsi="宋体" w:cs="Arial"/>
                <w:szCs w:val="21"/>
              </w:rPr>
              <w:t>39</w:t>
            </w:r>
          </w:p>
        </w:tc>
        <w:tc>
          <w:tcPr>
            <w:tcW w:w="3403" w:type="dxa"/>
            <w:vAlign w:val="center"/>
          </w:tcPr>
          <w:p>
            <w:pPr>
              <w:rPr>
                <w:rFonts w:ascii="宋体" w:hAnsi="宋体" w:cs="宋体"/>
                <w:szCs w:val="21"/>
              </w:rPr>
            </w:pPr>
            <w:r>
              <w:rPr>
                <w:rFonts w:hint="eastAsia" w:ascii="宋体" w:hAnsi="宋体"/>
                <w:szCs w:val="21"/>
              </w:rPr>
              <w:t xml:space="preserve">  其他交通费用</w:t>
            </w:r>
          </w:p>
        </w:tc>
        <w:tc>
          <w:tcPr>
            <w:tcW w:w="1082" w:type="dxa"/>
            <w:vAlign w:val="center"/>
          </w:tcPr>
          <w:p>
            <w:pPr>
              <w:widowControl/>
              <w:jc w:val="center"/>
              <w:rPr>
                <w:rFonts w:ascii="宋体" w:hAnsi="宋体" w:cs="宋体"/>
                <w:color w:val="000000"/>
                <w:kern w:val="0"/>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302</w:t>
            </w:r>
          </w:p>
        </w:tc>
        <w:tc>
          <w:tcPr>
            <w:tcW w:w="604" w:type="dxa"/>
            <w:vAlign w:val="center"/>
          </w:tcPr>
          <w:p>
            <w:pPr>
              <w:jc w:val="center"/>
              <w:rPr>
                <w:rFonts w:ascii="宋体" w:hAnsi="宋体" w:cs="Arial"/>
                <w:szCs w:val="21"/>
              </w:rPr>
            </w:pPr>
            <w:r>
              <w:rPr>
                <w:rFonts w:hint="eastAsia" w:ascii="宋体" w:hAnsi="宋体" w:cs="Arial"/>
                <w:szCs w:val="21"/>
              </w:rPr>
              <w:t>40</w:t>
            </w:r>
          </w:p>
        </w:tc>
        <w:tc>
          <w:tcPr>
            <w:tcW w:w="3403" w:type="dxa"/>
            <w:vAlign w:val="center"/>
          </w:tcPr>
          <w:p>
            <w:pPr>
              <w:rPr>
                <w:rFonts w:ascii="宋体" w:hAnsi="宋体" w:cs="宋体"/>
                <w:szCs w:val="21"/>
              </w:rPr>
            </w:pPr>
            <w:r>
              <w:rPr>
                <w:rFonts w:hint="eastAsia" w:ascii="宋体" w:hAnsi="宋体"/>
                <w:szCs w:val="21"/>
              </w:rPr>
              <w:t xml:space="preserve">  税金及附加费用</w:t>
            </w:r>
          </w:p>
        </w:tc>
        <w:tc>
          <w:tcPr>
            <w:tcW w:w="1082" w:type="dxa"/>
            <w:vAlign w:val="center"/>
          </w:tcPr>
          <w:p>
            <w:pPr>
              <w:widowControl/>
              <w:jc w:val="center"/>
              <w:rPr>
                <w:rFonts w:ascii="宋体" w:hAnsi="宋体" w:cs="宋体"/>
                <w:color w:val="000000"/>
                <w:kern w:val="0"/>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302</w:t>
            </w:r>
          </w:p>
        </w:tc>
        <w:tc>
          <w:tcPr>
            <w:tcW w:w="604" w:type="dxa"/>
            <w:vAlign w:val="center"/>
          </w:tcPr>
          <w:p>
            <w:pPr>
              <w:jc w:val="center"/>
              <w:rPr>
                <w:rFonts w:ascii="宋体" w:hAnsi="宋体" w:cs="Arial"/>
                <w:szCs w:val="21"/>
              </w:rPr>
            </w:pPr>
            <w:r>
              <w:rPr>
                <w:rFonts w:hint="eastAsia" w:ascii="宋体" w:hAnsi="宋体" w:cs="Arial"/>
                <w:szCs w:val="21"/>
              </w:rPr>
              <w:t>99</w:t>
            </w:r>
          </w:p>
        </w:tc>
        <w:tc>
          <w:tcPr>
            <w:tcW w:w="3403" w:type="dxa"/>
            <w:vAlign w:val="center"/>
          </w:tcPr>
          <w:p>
            <w:pPr>
              <w:rPr>
                <w:rFonts w:ascii="宋体" w:hAnsi="宋体" w:cs="宋体"/>
                <w:szCs w:val="21"/>
              </w:rPr>
            </w:pPr>
            <w:r>
              <w:rPr>
                <w:rFonts w:hint="eastAsia" w:ascii="宋体" w:hAnsi="宋体"/>
                <w:szCs w:val="21"/>
              </w:rPr>
              <w:t xml:space="preserve">  其他商品和服务支出</w:t>
            </w:r>
          </w:p>
        </w:tc>
        <w:tc>
          <w:tcPr>
            <w:tcW w:w="1082" w:type="dxa"/>
            <w:vAlign w:val="center"/>
          </w:tcPr>
          <w:p>
            <w:pPr>
              <w:jc w:val="center"/>
              <w:rPr>
                <w:rFonts w:ascii="宋体" w:hAnsi="宋体" w:cs="宋体"/>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303</w:t>
            </w:r>
          </w:p>
        </w:tc>
        <w:tc>
          <w:tcPr>
            <w:tcW w:w="604" w:type="dxa"/>
            <w:vAlign w:val="center"/>
          </w:tcPr>
          <w:p>
            <w:pPr>
              <w:jc w:val="center"/>
              <w:rPr>
                <w:rFonts w:ascii="宋体" w:hAnsi="宋体" w:cs="Arial"/>
                <w:szCs w:val="21"/>
              </w:rPr>
            </w:pPr>
          </w:p>
        </w:tc>
        <w:tc>
          <w:tcPr>
            <w:tcW w:w="3403" w:type="dxa"/>
            <w:vAlign w:val="center"/>
          </w:tcPr>
          <w:p>
            <w:pPr>
              <w:rPr>
                <w:rFonts w:ascii="宋体" w:hAnsi="宋体" w:cs="宋体"/>
                <w:szCs w:val="21"/>
              </w:rPr>
            </w:pPr>
            <w:r>
              <w:rPr>
                <w:rFonts w:hint="eastAsia" w:ascii="宋体" w:hAnsi="宋体"/>
                <w:szCs w:val="21"/>
              </w:rPr>
              <w:t>对个人和家庭的补助</w:t>
            </w:r>
          </w:p>
        </w:tc>
        <w:tc>
          <w:tcPr>
            <w:tcW w:w="1082" w:type="dxa"/>
            <w:vAlign w:val="center"/>
          </w:tcPr>
          <w:p>
            <w:pPr>
              <w:jc w:val="center"/>
              <w:rPr>
                <w:rFonts w:ascii="宋体" w:hAnsi="宋体" w:cs="宋体"/>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303</w:t>
            </w:r>
          </w:p>
        </w:tc>
        <w:tc>
          <w:tcPr>
            <w:tcW w:w="604" w:type="dxa"/>
            <w:vAlign w:val="center"/>
          </w:tcPr>
          <w:p>
            <w:pPr>
              <w:jc w:val="center"/>
              <w:rPr>
                <w:rFonts w:ascii="宋体" w:hAnsi="宋体" w:cs="Arial"/>
                <w:szCs w:val="21"/>
              </w:rPr>
            </w:pPr>
            <w:r>
              <w:rPr>
                <w:rFonts w:hint="eastAsia" w:ascii="宋体" w:hAnsi="宋体" w:cs="Arial"/>
                <w:szCs w:val="21"/>
              </w:rPr>
              <w:t>01</w:t>
            </w:r>
          </w:p>
        </w:tc>
        <w:tc>
          <w:tcPr>
            <w:tcW w:w="3403" w:type="dxa"/>
            <w:vAlign w:val="center"/>
          </w:tcPr>
          <w:p>
            <w:pPr>
              <w:rPr>
                <w:rFonts w:ascii="宋体" w:hAnsi="宋体" w:cs="宋体"/>
                <w:szCs w:val="21"/>
              </w:rPr>
            </w:pPr>
            <w:r>
              <w:rPr>
                <w:rFonts w:hint="eastAsia" w:ascii="宋体" w:hAnsi="宋体"/>
                <w:szCs w:val="21"/>
              </w:rPr>
              <w:t xml:space="preserve">  离休费</w:t>
            </w:r>
          </w:p>
        </w:tc>
        <w:tc>
          <w:tcPr>
            <w:tcW w:w="1082" w:type="dxa"/>
            <w:vAlign w:val="center"/>
          </w:tcPr>
          <w:p>
            <w:pPr>
              <w:jc w:val="center"/>
              <w:rPr>
                <w:rFonts w:ascii="宋体" w:hAnsi="宋体" w:cs="宋体"/>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303</w:t>
            </w:r>
          </w:p>
        </w:tc>
        <w:tc>
          <w:tcPr>
            <w:tcW w:w="604" w:type="dxa"/>
            <w:vAlign w:val="center"/>
          </w:tcPr>
          <w:p>
            <w:pPr>
              <w:jc w:val="center"/>
              <w:rPr>
                <w:rFonts w:ascii="宋体" w:hAnsi="宋体" w:cs="Arial"/>
                <w:szCs w:val="21"/>
              </w:rPr>
            </w:pPr>
            <w:r>
              <w:rPr>
                <w:rFonts w:hint="eastAsia" w:ascii="宋体" w:hAnsi="宋体" w:cs="Arial"/>
                <w:szCs w:val="21"/>
              </w:rPr>
              <w:t>02</w:t>
            </w:r>
          </w:p>
        </w:tc>
        <w:tc>
          <w:tcPr>
            <w:tcW w:w="3403" w:type="dxa"/>
            <w:vAlign w:val="center"/>
          </w:tcPr>
          <w:p>
            <w:pPr>
              <w:rPr>
                <w:rFonts w:ascii="宋体" w:hAnsi="宋体" w:cs="宋体"/>
                <w:szCs w:val="21"/>
              </w:rPr>
            </w:pPr>
            <w:r>
              <w:rPr>
                <w:rFonts w:hint="eastAsia" w:ascii="宋体" w:hAnsi="宋体"/>
                <w:szCs w:val="21"/>
              </w:rPr>
              <w:t xml:space="preserve">  退休费</w:t>
            </w:r>
          </w:p>
        </w:tc>
        <w:tc>
          <w:tcPr>
            <w:tcW w:w="1082" w:type="dxa"/>
            <w:vAlign w:val="center"/>
          </w:tcPr>
          <w:p>
            <w:pPr>
              <w:jc w:val="center"/>
              <w:rPr>
                <w:rFonts w:ascii="宋体" w:hAnsi="宋体" w:cs="宋体"/>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303</w:t>
            </w:r>
          </w:p>
        </w:tc>
        <w:tc>
          <w:tcPr>
            <w:tcW w:w="604" w:type="dxa"/>
            <w:vAlign w:val="center"/>
          </w:tcPr>
          <w:p>
            <w:pPr>
              <w:jc w:val="center"/>
              <w:rPr>
                <w:rFonts w:ascii="宋体" w:hAnsi="宋体" w:cs="Arial"/>
                <w:szCs w:val="21"/>
              </w:rPr>
            </w:pPr>
            <w:r>
              <w:rPr>
                <w:rFonts w:hint="eastAsia" w:ascii="宋体" w:hAnsi="宋体" w:cs="Arial"/>
                <w:szCs w:val="21"/>
              </w:rPr>
              <w:t>03</w:t>
            </w:r>
          </w:p>
        </w:tc>
        <w:tc>
          <w:tcPr>
            <w:tcW w:w="3403" w:type="dxa"/>
            <w:vAlign w:val="center"/>
          </w:tcPr>
          <w:p>
            <w:pPr>
              <w:rPr>
                <w:rFonts w:ascii="宋体" w:hAnsi="宋体" w:cs="宋体"/>
                <w:szCs w:val="21"/>
              </w:rPr>
            </w:pPr>
            <w:r>
              <w:rPr>
                <w:rFonts w:hint="eastAsia" w:ascii="宋体" w:hAnsi="宋体"/>
                <w:szCs w:val="21"/>
              </w:rPr>
              <w:t xml:space="preserve">  退职（役）费</w:t>
            </w:r>
          </w:p>
        </w:tc>
        <w:tc>
          <w:tcPr>
            <w:tcW w:w="1082" w:type="dxa"/>
            <w:vAlign w:val="center"/>
          </w:tcPr>
          <w:p>
            <w:pPr>
              <w:jc w:val="center"/>
              <w:rPr>
                <w:rFonts w:ascii="宋体" w:hAnsi="宋体" w:cs="宋体"/>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303</w:t>
            </w:r>
          </w:p>
        </w:tc>
        <w:tc>
          <w:tcPr>
            <w:tcW w:w="604" w:type="dxa"/>
            <w:vAlign w:val="center"/>
          </w:tcPr>
          <w:p>
            <w:pPr>
              <w:jc w:val="center"/>
              <w:rPr>
                <w:rFonts w:ascii="宋体" w:hAnsi="宋体" w:cs="Arial"/>
                <w:szCs w:val="21"/>
              </w:rPr>
            </w:pPr>
            <w:r>
              <w:rPr>
                <w:rFonts w:hint="eastAsia" w:ascii="宋体" w:hAnsi="宋体" w:cs="Arial"/>
                <w:szCs w:val="21"/>
              </w:rPr>
              <w:t>04</w:t>
            </w:r>
          </w:p>
        </w:tc>
        <w:tc>
          <w:tcPr>
            <w:tcW w:w="3403" w:type="dxa"/>
            <w:vAlign w:val="center"/>
          </w:tcPr>
          <w:p>
            <w:pPr>
              <w:rPr>
                <w:rFonts w:ascii="宋体" w:hAnsi="宋体" w:cs="宋体"/>
                <w:szCs w:val="21"/>
              </w:rPr>
            </w:pPr>
            <w:r>
              <w:rPr>
                <w:rFonts w:hint="eastAsia" w:ascii="宋体" w:hAnsi="宋体"/>
                <w:szCs w:val="21"/>
              </w:rPr>
              <w:t xml:space="preserve">  抚恤金</w:t>
            </w:r>
          </w:p>
        </w:tc>
        <w:tc>
          <w:tcPr>
            <w:tcW w:w="1082" w:type="dxa"/>
            <w:vAlign w:val="center"/>
          </w:tcPr>
          <w:p>
            <w:pPr>
              <w:jc w:val="center"/>
              <w:rPr>
                <w:rFonts w:ascii="宋体" w:hAnsi="宋体" w:cs="宋体"/>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303</w:t>
            </w:r>
          </w:p>
        </w:tc>
        <w:tc>
          <w:tcPr>
            <w:tcW w:w="604" w:type="dxa"/>
            <w:vAlign w:val="center"/>
          </w:tcPr>
          <w:p>
            <w:pPr>
              <w:jc w:val="center"/>
              <w:rPr>
                <w:rFonts w:ascii="宋体" w:hAnsi="宋体" w:cs="Arial"/>
                <w:szCs w:val="21"/>
              </w:rPr>
            </w:pPr>
            <w:r>
              <w:rPr>
                <w:rFonts w:hint="eastAsia" w:ascii="宋体" w:hAnsi="宋体" w:cs="Arial"/>
                <w:szCs w:val="21"/>
              </w:rPr>
              <w:t>05</w:t>
            </w:r>
          </w:p>
        </w:tc>
        <w:tc>
          <w:tcPr>
            <w:tcW w:w="3403" w:type="dxa"/>
            <w:vAlign w:val="center"/>
          </w:tcPr>
          <w:p>
            <w:pPr>
              <w:rPr>
                <w:rFonts w:ascii="宋体" w:hAnsi="宋体" w:cs="宋体"/>
                <w:szCs w:val="21"/>
              </w:rPr>
            </w:pPr>
            <w:r>
              <w:rPr>
                <w:rFonts w:hint="eastAsia" w:ascii="宋体" w:hAnsi="宋体"/>
                <w:szCs w:val="21"/>
              </w:rPr>
              <w:t xml:space="preserve">  生活补助</w:t>
            </w:r>
          </w:p>
        </w:tc>
        <w:tc>
          <w:tcPr>
            <w:tcW w:w="1082" w:type="dxa"/>
            <w:vAlign w:val="center"/>
          </w:tcPr>
          <w:p>
            <w:pPr>
              <w:jc w:val="center"/>
              <w:rPr>
                <w:rFonts w:ascii="宋体" w:hAnsi="宋体" w:cs="宋体"/>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303</w:t>
            </w:r>
          </w:p>
        </w:tc>
        <w:tc>
          <w:tcPr>
            <w:tcW w:w="604" w:type="dxa"/>
            <w:vAlign w:val="center"/>
          </w:tcPr>
          <w:p>
            <w:pPr>
              <w:jc w:val="center"/>
              <w:rPr>
                <w:rFonts w:ascii="宋体" w:hAnsi="宋体" w:cs="Arial"/>
                <w:szCs w:val="21"/>
              </w:rPr>
            </w:pPr>
            <w:r>
              <w:rPr>
                <w:rFonts w:hint="eastAsia" w:ascii="宋体" w:hAnsi="宋体" w:cs="Arial"/>
                <w:szCs w:val="21"/>
              </w:rPr>
              <w:t>07</w:t>
            </w:r>
          </w:p>
        </w:tc>
        <w:tc>
          <w:tcPr>
            <w:tcW w:w="3403" w:type="dxa"/>
            <w:vAlign w:val="center"/>
          </w:tcPr>
          <w:p>
            <w:pPr>
              <w:rPr>
                <w:rFonts w:ascii="宋体" w:hAnsi="宋体" w:cs="宋体"/>
                <w:szCs w:val="21"/>
              </w:rPr>
            </w:pPr>
            <w:r>
              <w:rPr>
                <w:rFonts w:hint="eastAsia" w:ascii="宋体" w:hAnsi="宋体"/>
                <w:szCs w:val="21"/>
              </w:rPr>
              <w:t xml:space="preserve">  医疗费补助</w:t>
            </w:r>
          </w:p>
        </w:tc>
        <w:tc>
          <w:tcPr>
            <w:tcW w:w="1082" w:type="dxa"/>
            <w:vAlign w:val="center"/>
          </w:tcPr>
          <w:p>
            <w:pPr>
              <w:jc w:val="center"/>
              <w:rPr>
                <w:rFonts w:ascii="宋体" w:hAnsi="宋体" w:cs="宋体"/>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303</w:t>
            </w:r>
          </w:p>
        </w:tc>
        <w:tc>
          <w:tcPr>
            <w:tcW w:w="604" w:type="dxa"/>
            <w:vAlign w:val="center"/>
          </w:tcPr>
          <w:p>
            <w:pPr>
              <w:jc w:val="center"/>
              <w:rPr>
                <w:rFonts w:ascii="宋体" w:hAnsi="宋体" w:cs="Arial"/>
                <w:szCs w:val="21"/>
              </w:rPr>
            </w:pPr>
            <w:r>
              <w:rPr>
                <w:rFonts w:hint="eastAsia" w:ascii="宋体" w:hAnsi="宋体" w:cs="Arial"/>
                <w:szCs w:val="21"/>
              </w:rPr>
              <w:t>08</w:t>
            </w:r>
          </w:p>
        </w:tc>
        <w:tc>
          <w:tcPr>
            <w:tcW w:w="3403" w:type="dxa"/>
            <w:vAlign w:val="center"/>
          </w:tcPr>
          <w:p>
            <w:pPr>
              <w:rPr>
                <w:rFonts w:ascii="宋体" w:hAnsi="宋体" w:cs="宋体"/>
                <w:szCs w:val="21"/>
              </w:rPr>
            </w:pPr>
            <w:r>
              <w:rPr>
                <w:rFonts w:hint="eastAsia" w:ascii="宋体" w:hAnsi="宋体"/>
                <w:szCs w:val="21"/>
              </w:rPr>
              <w:t xml:space="preserve">  助学金</w:t>
            </w:r>
          </w:p>
        </w:tc>
        <w:tc>
          <w:tcPr>
            <w:tcW w:w="1082" w:type="dxa"/>
            <w:vAlign w:val="center"/>
          </w:tcPr>
          <w:p>
            <w:pPr>
              <w:jc w:val="center"/>
              <w:rPr>
                <w:rFonts w:ascii="宋体" w:hAnsi="宋体" w:cs="宋体"/>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303</w:t>
            </w:r>
          </w:p>
        </w:tc>
        <w:tc>
          <w:tcPr>
            <w:tcW w:w="604" w:type="dxa"/>
            <w:vAlign w:val="center"/>
          </w:tcPr>
          <w:p>
            <w:pPr>
              <w:jc w:val="center"/>
              <w:rPr>
                <w:rFonts w:ascii="宋体" w:hAnsi="宋体" w:cs="Arial"/>
                <w:szCs w:val="21"/>
              </w:rPr>
            </w:pPr>
            <w:r>
              <w:rPr>
                <w:rFonts w:hint="eastAsia" w:ascii="宋体" w:hAnsi="宋体" w:cs="Arial"/>
                <w:szCs w:val="21"/>
              </w:rPr>
              <w:t>09</w:t>
            </w:r>
          </w:p>
        </w:tc>
        <w:tc>
          <w:tcPr>
            <w:tcW w:w="3403" w:type="dxa"/>
            <w:vAlign w:val="center"/>
          </w:tcPr>
          <w:p>
            <w:pPr>
              <w:rPr>
                <w:rFonts w:ascii="宋体" w:hAnsi="宋体" w:cs="宋体"/>
                <w:szCs w:val="21"/>
              </w:rPr>
            </w:pPr>
            <w:r>
              <w:rPr>
                <w:rFonts w:hint="eastAsia" w:ascii="宋体" w:hAnsi="宋体"/>
                <w:szCs w:val="21"/>
              </w:rPr>
              <w:t xml:space="preserve">  奖励金</w:t>
            </w:r>
          </w:p>
        </w:tc>
        <w:tc>
          <w:tcPr>
            <w:tcW w:w="1082" w:type="dxa"/>
            <w:vAlign w:val="center"/>
          </w:tcPr>
          <w:p>
            <w:pPr>
              <w:jc w:val="center"/>
              <w:rPr>
                <w:rFonts w:ascii="宋体" w:hAnsi="宋体" w:cs="宋体"/>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303</w:t>
            </w:r>
          </w:p>
        </w:tc>
        <w:tc>
          <w:tcPr>
            <w:tcW w:w="604" w:type="dxa"/>
            <w:vAlign w:val="center"/>
          </w:tcPr>
          <w:p>
            <w:pPr>
              <w:jc w:val="center"/>
              <w:rPr>
                <w:rFonts w:ascii="宋体" w:hAnsi="宋体" w:cs="Arial"/>
                <w:szCs w:val="21"/>
              </w:rPr>
            </w:pPr>
            <w:r>
              <w:rPr>
                <w:rFonts w:hint="eastAsia" w:ascii="宋体" w:hAnsi="宋体" w:cs="Arial"/>
                <w:szCs w:val="21"/>
              </w:rPr>
              <w:t>10</w:t>
            </w:r>
          </w:p>
        </w:tc>
        <w:tc>
          <w:tcPr>
            <w:tcW w:w="3403" w:type="dxa"/>
            <w:vAlign w:val="center"/>
          </w:tcPr>
          <w:p>
            <w:pPr>
              <w:ind w:firstLine="210" w:firstLineChars="100"/>
              <w:rPr>
                <w:rFonts w:ascii="宋体" w:hAnsi="宋体"/>
                <w:szCs w:val="21"/>
              </w:rPr>
            </w:pPr>
            <w:r>
              <w:rPr>
                <w:rFonts w:hint="eastAsia" w:ascii="宋体" w:hAnsi="宋体"/>
                <w:szCs w:val="21"/>
              </w:rPr>
              <w:t>个人农业生产补贴</w:t>
            </w:r>
          </w:p>
        </w:tc>
        <w:tc>
          <w:tcPr>
            <w:tcW w:w="1082" w:type="dxa"/>
            <w:vAlign w:val="center"/>
          </w:tcPr>
          <w:p>
            <w:pPr>
              <w:jc w:val="center"/>
              <w:rPr>
                <w:rFonts w:ascii="宋体" w:hAnsi="宋体" w:cs="宋体"/>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303</w:t>
            </w:r>
          </w:p>
        </w:tc>
        <w:tc>
          <w:tcPr>
            <w:tcW w:w="604" w:type="dxa"/>
            <w:vAlign w:val="center"/>
          </w:tcPr>
          <w:p>
            <w:pPr>
              <w:jc w:val="center"/>
              <w:rPr>
                <w:rFonts w:ascii="宋体" w:hAnsi="宋体" w:cs="Arial"/>
                <w:szCs w:val="21"/>
              </w:rPr>
            </w:pPr>
            <w:r>
              <w:rPr>
                <w:rFonts w:hint="eastAsia" w:ascii="宋体" w:hAnsi="宋体" w:cs="Arial"/>
                <w:szCs w:val="21"/>
              </w:rPr>
              <w:t>99</w:t>
            </w:r>
          </w:p>
        </w:tc>
        <w:tc>
          <w:tcPr>
            <w:tcW w:w="3403" w:type="dxa"/>
            <w:vAlign w:val="center"/>
          </w:tcPr>
          <w:p>
            <w:pPr>
              <w:rPr>
                <w:rFonts w:ascii="宋体" w:hAnsi="宋体" w:cs="宋体"/>
                <w:szCs w:val="21"/>
              </w:rPr>
            </w:pPr>
            <w:r>
              <w:rPr>
                <w:rFonts w:hint="eastAsia" w:ascii="宋体" w:hAnsi="宋体"/>
                <w:szCs w:val="21"/>
              </w:rPr>
              <w:t xml:space="preserve">  其他个人和家庭的补助支出</w:t>
            </w:r>
          </w:p>
        </w:tc>
        <w:tc>
          <w:tcPr>
            <w:tcW w:w="1082" w:type="dxa"/>
            <w:vAlign w:val="center"/>
          </w:tcPr>
          <w:p>
            <w:pPr>
              <w:jc w:val="center"/>
              <w:rPr>
                <w:rFonts w:ascii="宋体" w:hAnsi="宋体" w:cs="宋体"/>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310</w:t>
            </w:r>
          </w:p>
        </w:tc>
        <w:tc>
          <w:tcPr>
            <w:tcW w:w="604" w:type="dxa"/>
            <w:vAlign w:val="center"/>
          </w:tcPr>
          <w:p>
            <w:pPr>
              <w:jc w:val="center"/>
              <w:rPr>
                <w:rFonts w:ascii="宋体" w:hAnsi="宋体" w:cs="Arial"/>
                <w:szCs w:val="21"/>
              </w:rPr>
            </w:pPr>
          </w:p>
        </w:tc>
        <w:tc>
          <w:tcPr>
            <w:tcW w:w="3403" w:type="dxa"/>
            <w:vAlign w:val="center"/>
          </w:tcPr>
          <w:p>
            <w:pPr>
              <w:rPr>
                <w:rFonts w:ascii="宋体" w:hAnsi="宋体" w:cs="宋体"/>
                <w:szCs w:val="21"/>
              </w:rPr>
            </w:pPr>
            <w:r>
              <w:rPr>
                <w:rFonts w:hint="eastAsia" w:ascii="宋体" w:hAnsi="宋体"/>
                <w:szCs w:val="21"/>
              </w:rPr>
              <w:t>资本性支出</w:t>
            </w:r>
          </w:p>
        </w:tc>
        <w:tc>
          <w:tcPr>
            <w:tcW w:w="1082" w:type="dxa"/>
            <w:vAlign w:val="center"/>
          </w:tcPr>
          <w:p>
            <w:pPr>
              <w:jc w:val="center"/>
              <w:rPr>
                <w:rFonts w:ascii="宋体" w:hAnsi="宋体" w:cs="宋体"/>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310</w:t>
            </w:r>
          </w:p>
        </w:tc>
        <w:tc>
          <w:tcPr>
            <w:tcW w:w="604" w:type="dxa"/>
            <w:vAlign w:val="center"/>
          </w:tcPr>
          <w:p>
            <w:pPr>
              <w:jc w:val="center"/>
              <w:rPr>
                <w:rFonts w:ascii="宋体" w:hAnsi="宋体" w:cs="Arial"/>
                <w:szCs w:val="21"/>
              </w:rPr>
            </w:pPr>
            <w:r>
              <w:rPr>
                <w:rFonts w:hint="eastAsia" w:ascii="宋体" w:hAnsi="宋体" w:cs="Arial"/>
                <w:szCs w:val="21"/>
              </w:rPr>
              <w:t>02</w:t>
            </w:r>
          </w:p>
        </w:tc>
        <w:tc>
          <w:tcPr>
            <w:tcW w:w="3403" w:type="dxa"/>
            <w:vAlign w:val="center"/>
          </w:tcPr>
          <w:p>
            <w:pPr>
              <w:rPr>
                <w:rFonts w:ascii="宋体" w:hAnsi="宋体" w:cs="宋体"/>
                <w:szCs w:val="21"/>
              </w:rPr>
            </w:pPr>
            <w:r>
              <w:rPr>
                <w:rFonts w:hint="eastAsia" w:ascii="宋体" w:hAnsi="宋体"/>
                <w:szCs w:val="21"/>
              </w:rPr>
              <w:t xml:space="preserve">  办公设备购置</w:t>
            </w:r>
          </w:p>
        </w:tc>
        <w:tc>
          <w:tcPr>
            <w:tcW w:w="1082" w:type="dxa"/>
            <w:vAlign w:val="center"/>
          </w:tcPr>
          <w:p>
            <w:pPr>
              <w:jc w:val="center"/>
              <w:rPr>
                <w:rFonts w:ascii="宋体" w:hAnsi="宋体" w:cs="宋体"/>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310</w:t>
            </w:r>
          </w:p>
        </w:tc>
        <w:tc>
          <w:tcPr>
            <w:tcW w:w="604" w:type="dxa"/>
            <w:vAlign w:val="center"/>
          </w:tcPr>
          <w:p>
            <w:pPr>
              <w:jc w:val="center"/>
              <w:rPr>
                <w:rFonts w:ascii="宋体" w:hAnsi="宋体" w:cs="Arial"/>
                <w:szCs w:val="21"/>
              </w:rPr>
            </w:pPr>
            <w:r>
              <w:rPr>
                <w:rFonts w:hint="eastAsia" w:ascii="宋体" w:hAnsi="宋体" w:cs="Arial"/>
                <w:szCs w:val="21"/>
              </w:rPr>
              <w:t>03</w:t>
            </w:r>
          </w:p>
        </w:tc>
        <w:tc>
          <w:tcPr>
            <w:tcW w:w="3403" w:type="dxa"/>
            <w:vAlign w:val="center"/>
          </w:tcPr>
          <w:p>
            <w:pPr>
              <w:rPr>
                <w:rFonts w:ascii="宋体" w:hAnsi="宋体" w:cs="宋体"/>
                <w:szCs w:val="21"/>
              </w:rPr>
            </w:pPr>
            <w:r>
              <w:rPr>
                <w:rFonts w:hint="eastAsia" w:ascii="宋体" w:hAnsi="宋体"/>
                <w:szCs w:val="21"/>
              </w:rPr>
              <w:t xml:space="preserve">  专用设备购置</w:t>
            </w:r>
          </w:p>
        </w:tc>
        <w:tc>
          <w:tcPr>
            <w:tcW w:w="1082" w:type="dxa"/>
            <w:vAlign w:val="center"/>
          </w:tcPr>
          <w:p>
            <w:pPr>
              <w:jc w:val="center"/>
              <w:rPr>
                <w:rFonts w:ascii="宋体" w:hAnsi="宋体" w:cs="宋体"/>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310</w:t>
            </w:r>
          </w:p>
        </w:tc>
        <w:tc>
          <w:tcPr>
            <w:tcW w:w="604" w:type="dxa"/>
            <w:vAlign w:val="center"/>
          </w:tcPr>
          <w:p>
            <w:pPr>
              <w:jc w:val="center"/>
              <w:rPr>
                <w:rFonts w:ascii="宋体" w:hAnsi="宋体" w:cs="Arial"/>
                <w:szCs w:val="21"/>
              </w:rPr>
            </w:pPr>
            <w:r>
              <w:rPr>
                <w:rFonts w:hint="eastAsia" w:ascii="宋体" w:hAnsi="宋体" w:cs="Arial"/>
                <w:szCs w:val="21"/>
              </w:rPr>
              <w:t>07</w:t>
            </w:r>
          </w:p>
        </w:tc>
        <w:tc>
          <w:tcPr>
            <w:tcW w:w="3403" w:type="dxa"/>
            <w:vAlign w:val="center"/>
          </w:tcPr>
          <w:p>
            <w:pPr>
              <w:rPr>
                <w:rFonts w:ascii="宋体" w:hAnsi="宋体" w:cs="宋体"/>
                <w:szCs w:val="21"/>
              </w:rPr>
            </w:pPr>
            <w:r>
              <w:rPr>
                <w:rFonts w:hint="eastAsia" w:ascii="宋体" w:hAnsi="宋体"/>
                <w:szCs w:val="21"/>
              </w:rPr>
              <w:t xml:space="preserve">  信息网络及软件购置更新</w:t>
            </w:r>
          </w:p>
        </w:tc>
        <w:tc>
          <w:tcPr>
            <w:tcW w:w="1082" w:type="dxa"/>
            <w:vAlign w:val="center"/>
          </w:tcPr>
          <w:p>
            <w:pPr>
              <w:jc w:val="center"/>
              <w:rPr>
                <w:rFonts w:ascii="宋体" w:hAnsi="宋体" w:cs="宋体"/>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310</w:t>
            </w:r>
          </w:p>
        </w:tc>
        <w:tc>
          <w:tcPr>
            <w:tcW w:w="604" w:type="dxa"/>
            <w:vAlign w:val="center"/>
          </w:tcPr>
          <w:p>
            <w:pPr>
              <w:jc w:val="center"/>
              <w:rPr>
                <w:rFonts w:ascii="宋体" w:hAnsi="宋体" w:cs="Arial"/>
                <w:szCs w:val="21"/>
              </w:rPr>
            </w:pPr>
            <w:r>
              <w:rPr>
                <w:rFonts w:hint="eastAsia" w:ascii="宋体" w:hAnsi="宋体" w:cs="Arial"/>
                <w:szCs w:val="21"/>
              </w:rPr>
              <w:t>13</w:t>
            </w:r>
          </w:p>
        </w:tc>
        <w:tc>
          <w:tcPr>
            <w:tcW w:w="3403" w:type="dxa"/>
            <w:vAlign w:val="center"/>
          </w:tcPr>
          <w:p>
            <w:pPr>
              <w:rPr>
                <w:rFonts w:ascii="宋体" w:hAnsi="宋体" w:cs="宋体"/>
                <w:szCs w:val="21"/>
              </w:rPr>
            </w:pPr>
            <w:r>
              <w:rPr>
                <w:rFonts w:hint="eastAsia" w:ascii="宋体" w:hAnsi="宋体"/>
                <w:szCs w:val="21"/>
              </w:rPr>
              <w:t xml:space="preserve">  公务用车购置</w:t>
            </w:r>
          </w:p>
        </w:tc>
        <w:tc>
          <w:tcPr>
            <w:tcW w:w="1082" w:type="dxa"/>
            <w:vAlign w:val="center"/>
          </w:tcPr>
          <w:p>
            <w:pPr>
              <w:jc w:val="center"/>
              <w:rPr>
                <w:rFonts w:ascii="宋体" w:hAnsi="宋体" w:cs="宋体"/>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310</w:t>
            </w:r>
          </w:p>
        </w:tc>
        <w:tc>
          <w:tcPr>
            <w:tcW w:w="604" w:type="dxa"/>
            <w:vAlign w:val="center"/>
          </w:tcPr>
          <w:p>
            <w:pPr>
              <w:jc w:val="center"/>
              <w:rPr>
                <w:rFonts w:ascii="宋体" w:hAnsi="宋体" w:cs="Arial"/>
                <w:szCs w:val="21"/>
              </w:rPr>
            </w:pPr>
            <w:r>
              <w:rPr>
                <w:rFonts w:hint="eastAsia" w:ascii="宋体" w:hAnsi="宋体" w:cs="Arial"/>
                <w:szCs w:val="21"/>
              </w:rPr>
              <w:t>19</w:t>
            </w:r>
          </w:p>
        </w:tc>
        <w:tc>
          <w:tcPr>
            <w:tcW w:w="3403" w:type="dxa"/>
            <w:vAlign w:val="center"/>
          </w:tcPr>
          <w:p>
            <w:pPr>
              <w:rPr>
                <w:rFonts w:ascii="宋体" w:hAnsi="宋体"/>
                <w:szCs w:val="21"/>
              </w:rPr>
            </w:pPr>
            <w:r>
              <w:rPr>
                <w:rFonts w:hint="eastAsia" w:ascii="宋体" w:hAnsi="宋体"/>
                <w:szCs w:val="21"/>
              </w:rPr>
              <w:t xml:space="preserve">  其他交通工具购置</w:t>
            </w:r>
          </w:p>
        </w:tc>
        <w:tc>
          <w:tcPr>
            <w:tcW w:w="1082" w:type="dxa"/>
            <w:vAlign w:val="center"/>
          </w:tcPr>
          <w:p>
            <w:pPr>
              <w:jc w:val="center"/>
              <w:rPr>
                <w:rFonts w:ascii="宋体" w:hAnsi="宋体"/>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310</w:t>
            </w:r>
          </w:p>
        </w:tc>
        <w:tc>
          <w:tcPr>
            <w:tcW w:w="604" w:type="dxa"/>
            <w:vAlign w:val="center"/>
          </w:tcPr>
          <w:p>
            <w:pPr>
              <w:jc w:val="center"/>
              <w:rPr>
                <w:rFonts w:ascii="宋体" w:hAnsi="宋体" w:cs="Arial"/>
                <w:szCs w:val="21"/>
              </w:rPr>
            </w:pPr>
            <w:r>
              <w:rPr>
                <w:rFonts w:hint="eastAsia" w:ascii="宋体" w:hAnsi="宋体" w:cs="Arial"/>
                <w:szCs w:val="21"/>
              </w:rPr>
              <w:t>22</w:t>
            </w:r>
          </w:p>
        </w:tc>
        <w:tc>
          <w:tcPr>
            <w:tcW w:w="3403" w:type="dxa"/>
            <w:vAlign w:val="center"/>
          </w:tcPr>
          <w:p>
            <w:pPr>
              <w:rPr>
                <w:rFonts w:ascii="宋体" w:hAnsi="宋体"/>
                <w:szCs w:val="21"/>
              </w:rPr>
            </w:pPr>
            <w:r>
              <w:rPr>
                <w:rFonts w:hint="eastAsia" w:ascii="宋体" w:hAnsi="宋体"/>
                <w:szCs w:val="21"/>
              </w:rPr>
              <w:t xml:space="preserve">  无形资产购置</w:t>
            </w:r>
          </w:p>
        </w:tc>
        <w:tc>
          <w:tcPr>
            <w:tcW w:w="1082" w:type="dxa"/>
            <w:vAlign w:val="center"/>
          </w:tcPr>
          <w:p>
            <w:pPr>
              <w:jc w:val="center"/>
              <w:rPr>
                <w:rFonts w:ascii="宋体" w:hAnsi="宋体"/>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5" w:hRule="atLeast"/>
          <w:jc w:val="center"/>
        </w:trPr>
        <w:tc>
          <w:tcPr>
            <w:tcW w:w="605" w:type="dxa"/>
            <w:vAlign w:val="center"/>
          </w:tcPr>
          <w:p>
            <w:pPr>
              <w:jc w:val="center"/>
              <w:rPr>
                <w:rFonts w:ascii="宋体" w:hAnsi="宋体" w:cs="Arial"/>
                <w:szCs w:val="21"/>
              </w:rPr>
            </w:pPr>
            <w:r>
              <w:rPr>
                <w:rFonts w:hint="eastAsia" w:ascii="宋体" w:hAnsi="宋体" w:cs="Arial"/>
                <w:szCs w:val="21"/>
              </w:rPr>
              <w:t>310</w:t>
            </w:r>
          </w:p>
        </w:tc>
        <w:tc>
          <w:tcPr>
            <w:tcW w:w="604" w:type="dxa"/>
            <w:vAlign w:val="center"/>
          </w:tcPr>
          <w:p>
            <w:pPr>
              <w:jc w:val="center"/>
              <w:rPr>
                <w:rFonts w:ascii="宋体" w:hAnsi="宋体" w:cs="Arial"/>
                <w:szCs w:val="21"/>
              </w:rPr>
            </w:pPr>
            <w:r>
              <w:rPr>
                <w:rFonts w:hint="eastAsia" w:ascii="宋体" w:hAnsi="宋体" w:cs="Arial"/>
                <w:szCs w:val="21"/>
              </w:rPr>
              <w:t>99</w:t>
            </w:r>
          </w:p>
        </w:tc>
        <w:tc>
          <w:tcPr>
            <w:tcW w:w="3403" w:type="dxa"/>
            <w:vAlign w:val="center"/>
          </w:tcPr>
          <w:p>
            <w:pPr>
              <w:rPr>
                <w:rFonts w:ascii="宋体" w:hAnsi="宋体" w:cs="宋体"/>
                <w:szCs w:val="21"/>
              </w:rPr>
            </w:pPr>
            <w:r>
              <w:rPr>
                <w:rFonts w:hint="eastAsia" w:ascii="宋体" w:hAnsi="宋体"/>
                <w:szCs w:val="21"/>
              </w:rPr>
              <w:t xml:space="preserve">  其他资本性支出</w:t>
            </w:r>
          </w:p>
        </w:tc>
        <w:tc>
          <w:tcPr>
            <w:tcW w:w="1082" w:type="dxa"/>
            <w:vAlign w:val="center"/>
          </w:tcPr>
          <w:p>
            <w:pPr>
              <w:jc w:val="center"/>
              <w:rPr>
                <w:rFonts w:ascii="宋体" w:hAnsi="宋体" w:cs="宋体"/>
                <w:szCs w:val="21"/>
              </w:rPr>
            </w:pPr>
          </w:p>
        </w:tc>
        <w:tc>
          <w:tcPr>
            <w:tcW w:w="1353" w:type="dxa"/>
            <w:vAlign w:val="center"/>
          </w:tcPr>
          <w:p>
            <w:pPr>
              <w:widowControl/>
              <w:jc w:val="center"/>
              <w:rPr>
                <w:rFonts w:ascii="宋体" w:hAnsi="宋体" w:cs="宋体"/>
                <w:color w:val="000000"/>
                <w:kern w:val="0"/>
                <w:szCs w:val="21"/>
              </w:rPr>
            </w:pPr>
          </w:p>
        </w:tc>
        <w:tc>
          <w:tcPr>
            <w:tcW w:w="1416"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4612" w:type="dxa"/>
            <w:gridSpan w:val="3"/>
            <w:vAlign w:val="center"/>
          </w:tcPr>
          <w:p>
            <w:pPr>
              <w:jc w:val="center"/>
              <w:rPr>
                <w:rFonts w:ascii="宋体" w:hAnsi="宋体" w:cs="宋体"/>
                <w:color w:val="000000"/>
                <w:kern w:val="0"/>
                <w:szCs w:val="21"/>
              </w:rPr>
            </w:pPr>
            <w:r>
              <w:rPr>
                <w:rFonts w:hint="eastAsia" w:ascii="宋体" w:hAnsi="宋体"/>
                <w:szCs w:val="21"/>
              </w:rPr>
              <w:t>合计</w:t>
            </w:r>
          </w:p>
        </w:tc>
        <w:tc>
          <w:tcPr>
            <w:tcW w:w="1082" w:type="dxa"/>
            <w:vAlign w:val="center"/>
          </w:tcPr>
          <w:p>
            <w:pPr>
              <w:jc w:val="center"/>
              <w:rPr>
                <w:rFonts w:ascii="宋体" w:hAnsi="宋体" w:cs="宋体"/>
                <w:szCs w:val="21"/>
              </w:rPr>
            </w:pPr>
            <w:r>
              <w:rPr>
                <w:rFonts w:hint="eastAsia" w:ascii="宋体" w:hAnsi="宋体" w:cs="宋体"/>
                <w:szCs w:val="21"/>
              </w:rPr>
              <w:t>2963.19</w:t>
            </w:r>
          </w:p>
        </w:tc>
        <w:tc>
          <w:tcPr>
            <w:tcW w:w="135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2963.09</w:t>
            </w:r>
          </w:p>
        </w:tc>
        <w:tc>
          <w:tcPr>
            <w:tcW w:w="1416"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0.1</w:t>
            </w:r>
          </w:p>
        </w:tc>
      </w:tr>
    </w:tbl>
    <w:p>
      <w:pPr>
        <w:autoSpaceDE w:val="0"/>
        <w:autoSpaceDN w:val="0"/>
        <w:adjustRightInd w:val="0"/>
        <w:rPr>
          <w:rFonts w:ascii="宋体" w:hAnsi="宋体"/>
          <w:szCs w:val="21"/>
        </w:rPr>
      </w:pPr>
    </w:p>
    <w:p>
      <w:pPr>
        <w:autoSpaceDE w:val="0"/>
        <w:autoSpaceDN w:val="0"/>
        <w:adjustRightInd w:val="0"/>
        <w:rPr>
          <w:rFonts w:ascii="宋体" w:hAnsi="宋体"/>
          <w:szCs w:val="21"/>
        </w:rPr>
        <w:sectPr>
          <w:pgSz w:w="11906" w:h="16838"/>
          <w:pgMar w:top="1440" w:right="1797" w:bottom="1440" w:left="1797" w:header="851" w:footer="992" w:gutter="0"/>
          <w:cols w:space="425" w:num="1"/>
          <w:docGrid w:linePitch="312" w:charSpace="0"/>
        </w:sectPr>
      </w:pPr>
    </w:p>
    <w:p>
      <w:pPr>
        <w:autoSpaceDE w:val="0"/>
        <w:autoSpaceDN w:val="0"/>
        <w:adjustRightInd w:val="0"/>
        <w:jc w:val="center"/>
        <w:outlineLvl w:val="0"/>
        <w:rPr>
          <w:rFonts w:ascii="宋体" w:hAnsi="宋体"/>
          <w:szCs w:val="21"/>
        </w:rPr>
      </w:pPr>
      <w:r>
        <w:rPr>
          <w:rFonts w:hint="eastAsia" w:ascii="宋体" w:hAnsi="宋体"/>
          <w:szCs w:val="21"/>
        </w:rPr>
        <w:t>2018年度一般公共预算财政拨款“三公”经费及机关运行经费支出决算表</w:t>
      </w:r>
    </w:p>
    <w:p>
      <w:pPr>
        <w:autoSpaceDE w:val="0"/>
        <w:autoSpaceDN w:val="0"/>
        <w:adjustRightInd w:val="0"/>
        <w:ind w:right="360"/>
        <w:jc w:val="right"/>
        <w:rPr>
          <w:rFonts w:ascii="宋体" w:hAnsi="宋体"/>
          <w:szCs w:val="21"/>
        </w:rPr>
      </w:pPr>
      <w:r>
        <w:rPr>
          <w:rFonts w:hint="eastAsia" w:ascii="宋体" w:hAnsi="宋体"/>
          <w:szCs w:val="21"/>
        </w:rPr>
        <w:t>单位：万元</w:t>
      </w:r>
    </w:p>
    <w:tbl>
      <w:tblPr>
        <w:tblStyle w:val="11"/>
        <w:tblW w:w="13561"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20"/>
        <w:gridCol w:w="1020"/>
        <w:gridCol w:w="1019"/>
        <w:gridCol w:w="1019"/>
        <w:gridCol w:w="1019"/>
        <w:gridCol w:w="1019"/>
        <w:gridCol w:w="1019"/>
        <w:gridCol w:w="1019"/>
        <w:gridCol w:w="1019"/>
        <w:gridCol w:w="1019"/>
        <w:gridCol w:w="1019"/>
        <w:gridCol w:w="1019"/>
        <w:gridCol w:w="133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2230" w:type="dxa"/>
            <w:gridSpan w:val="12"/>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Cs w:val="21"/>
              </w:rPr>
            </w:pPr>
            <w:r>
              <w:rPr>
                <w:rFonts w:hint="eastAsia" w:ascii="宋体" w:hAnsi="宋体"/>
                <w:szCs w:val="21"/>
              </w:rPr>
              <w:t>一般公共预算财政拨款</w:t>
            </w:r>
            <w:r>
              <w:rPr>
                <w:rFonts w:hint="eastAsia" w:ascii="宋体" w:hAnsi="宋体" w:cs="宋体"/>
                <w:kern w:val="0"/>
                <w:szCs w:val="21"/>
              </w:rPr>
              <w:t>“三公”经费</w:t>
            </w:r>
          </w:p>
        </w:tc>
        <w:tc>
          <w:tcPr>
            <w:tcW w:w="1331"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rPr>
                <w:rFonts w:ascii="宋体" w:hAnsi="宋体"/>
                <w:szCs w:val="21"/>
              </w:rPr>
            </w:pPr>
            <w:r>
              <w:rPr>
                <w:rFonts w:hint="eastAsia" w:ascii="宋体" w:hAnsi="宋体"/>
                <w:szCs w:val="21"/>
              </w:rPr>
              <w:t>机关运行</w:t>
            </w:r>
          </w:p>
          <w:p>
            <w:pPr>
              <w:widowControl/>
              <w:jc w:val="center"/>
              <w:rPr>
                <w:rFonts w:ascii="宋体" w:hAnsi="宋体"/>
                <w:szCs w:val="21"/>
              </w:rPr>
            </w:pPr>
            <w:r>
              <w:rPr>
                <w:rFonts w:hint="eastAsia" w:ascii="宋体" w:hAnsi="宋体"/>
                <w:szCs w:val="21"/>
              </w:rPr>
              <w:t>经费决算数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2040" w:type="dxa"/>
            <w:gridSpan w:val="2"/>
            <w:vMerge w:val="restart"/>
            <w:tcBorders>
              <w:top w:val="single" w:color="auto" w:sz="6" w:space="0"/>
              <w:left w:val="single" w:color="auto" w:sz="6" w:space="0"/>
              <w:bottom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2038" w:type="dxa"/>
            <w:gridSpan w:val="2"/>
            <w:vMerge w:val="restart"/>
            <w:tcBorders>
              <w:top w:val="single" w:color="auto" w:sz="6" w:space="0"/>
              <w:bottom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因公出国</w:t>
            </w:r>
          </w:p>
          <w:p>
            <w:pPr>
              <w:widowControl/>
              <w:jc w:val="center"/>
              <w:rPr>
                <w:rFonts w:ascii="宋体" w:hAnsi="宋体" w:cs="宋体"/>
                <w:kern w:val="0"/>
                <w:szCs w:val="21"/>
              </w:rPr>
            </w:pPr>
            <w:r>
              <w:rPr>
                <w:rFonts w:hint="eastAsia" w:ascii="宋体" w:hAnsi="宋体" w:cs="宋体"/>
                <w:kern w:val="0"/>
                <w:szCs w:val="21"/>
              </w:rPr>
              <w:t>（境）费</w:t>
            </w:r>
          </w:p>
        </w:tc>
        <w:tc>
          <w:tcPr>
            <w:tcW w:w="6114" w:type="dxa"/>
            <w:gridSpan w:val="6"/>
            <w:tcBorders>
              <w:top w:val="single" w:color="auto" w:sz="6" w:space="0"/>
              <w:bottom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公务用车购置及运行费</w:t>
            </w:r>
          </w:p>
        </w:tc>
        <w:tc>
          <w:tcPr>
            <w:tcW w:w="2038" w:type="dxa"/>
            <w:gridSpan w:val="2"/>
            <w:vMerge w:val="restart"/>
            <w:tcBorders>
              <w:top w:val="single" w:color="auto" w:sz="6" w:space="0"/>
              <w:bottom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公务接待费</w:t>
            </w:r>
          </w:p>
        </w:tc>
        <w:tc>
          <w:tcPr>
            <w:tcW w:w="1331" w:type="dxa"/>
            <w:vMerge w:val="continue"/>
            <w:tcBorders>
              <w:top w:val="single" w:color="auto" w:sz="6" w:space="0"/>
              <w:bottom w:val="single" w:color="auto" w:sz="6" w:space="0"/>
              <w:right w:val="single" w:color="auto" w:sz="6" w:space="0"/>
            </w:tcBorders>
            <w:shd w:val="clear" w:color="auto" w:fill="auto"/>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1" w:hRule="atLeast"/>
          <w:jc w:val="center"/>
        </w:trPr>
        <w:tc>
          <w:tcPr>
            <w:tcW w:w="2040" w:type="dxa"/>
            <w:gridSpan w:val="2"/>
            <w:vMerge w:val="continue"/>
            <w:tcBorders>
              <w:top w:val="single" w:color="auto" w:sz="6" w:space="0"/>
              <w:left w:val="single" w:color="auto" w:sz="6" w:space="0"/>
              <w:bottom w:val="single" w:color="auto" w:sz="6" w:space="0"/>
            </w:tcBorders>
            <w:vAlign w:val="center"/>
          </w:tcPr>
          <w:p>
            <w:pPr>
              <w:widowControl/>
              <w:jc w:val="left"/>
              <w:rPr>
                <w:rFonts w:ascii="宋体" w:hAnsi="宋体" w:cs="宋体"/>
                <w:kern w:val="0"/>
                <w:szCs w:val="21"/>
              </w:rPr>
            </w:pPr>
          </w:p>
        </w:tc>
        <w:tc>
          <w:tcPr>
            <w:tcW w:w="2038" w:type="dxa"/>
            <w:gridSpan w:val="2"/>
            <w:vMerge w:val="continue"/>
            <w:tcBorders>
              <w:top w:val="single" w:color="auto" w:sz="6" w:space="0"/>
              <w:bottom w:val="single" w:color="auto" w:sz="6" w:space="0"/>
            </w:tcBorders>
            <w:vAlign w:val="center"/>
          </w:tcPr>
          <w:p>
            <w:pPr>
              <w:widowControl/>
              <w:jc w:val="left"/>
              <w:rPr>
                <w:rFonts w:ascii="宋体" w:hAnsi="宋体" w:cs="宋体"/>
                <w:kern w:val="0"/>
                <w:szCs w:val="21"/>
              </w:rPr>
            </w:pPr>
          </w:p>
        </w:tc>
        <w:tc>
          <w:tcPr>
            <w:tcW w:w="2038" w:type="dxa"/>
            <w:gridSpan w:val="2"/>
            <w:tcBorders>
              <w:top w:val="single" w:color="auto" w:sz="6" w:space="0"/>
              <w:bottom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2038" w:type="dxa"/>
            <w:gridSpan w:val="2"/>
            <w:tcBorders>
              <w:top w:val="single" w:color="auto" w:sz="6" w:space="0"/>
              <w:bottom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公务用车</w:t>
            </w:r>
          </w:p>
          <w:p>
            <w:pPr>
              <w:widowControl/>
              <w:jc w:val="center"/>
              <w:rPr>
                <w:rFonts w:ascii="宋体" w:hAnsi="宋体" w:cs="宋体"/>
                <w:kern w:val="0"/>
                <w:szCs w:val="21"/>
              </w:rPr>
            </w:pPr>
            <w:r>
              <w:rPr>
                <w:rFonts w:hint="eastAsia" w:ascii="宋体" w:hAnsi="宋体" w:cs="宋体"/>
                <w:kern w:val="0"/>
                <w:szCs w:val="21"/>
              </w:rPr>
              <w:t>购置费</w:t>
            </w:r>
          </w:p>
        </w:tc>
        <w:tc>
          <w:tcPr>
            <w:tcW w:w="2038" w:type="dxa"/>
            <w:gridSpan w:val="2"/>
            <w:tcBorders>
              <w:top w:val="single" w:color="auto" w:sz="6" w:space="0"/>
              <w:bottom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公务用车</w:t>
            </w:r>
          </w:p>
          <w:p>
            <w:pPr>
              <w:widowControl/>
              <w:jc w:val="center"/>
              <w:rPr>
                <w:rFonts w:ascii="宋体" w:hAnsi="宋体" w:cs="宋体"/>
                <w:kern w:val="0"/>
                <w:szCs w:val="21"/>
              </w:rPr>
            </w:pPr>
            <w:r>
              <w:rPr>
                <w:rFonts w:hint="eastAsia" w:ascii="宋体" w:hAnsi="宋体" w:cs="宋体"/>
                <w:kern w:val="0"/>
                <w:szCs w:val="21"/>
              </w:rPr>
              <w:t>运行费</w:t>
            </w:r>
          </w:p>
        </w:tc>
        <w:tc>
          <w:tcPr>
            <w:tcW w:w="2038" w:type="dxa"/>
            <w:gridSpan w:val="2"/>
            <w:vMerge w:val="continue"/>
            <w:tcBorders>
              <w:top w:val="single" w:color="auto" w:sz="6" w:space="0"/>
              <w:bottom w:val="single" w:color="auto" w:sz="6" w:space="0"/>
            </w:tcBorders>
            <w:vAlign w:val="center"/>
          </w:tcPr>
          <w:p>
            <w:pPr>
              <w:widowControl/>
              <w:jc w:val="left"/>
              <w:rPr>
                <w:rFonts w:ascii="宋体" w:hAnsi="宋体" w:cs="宋体"/>
                <w:kern w:val="0"/>
                <w:szCs w:val="21"/>
              </w:rPr>
            </w:pPr>
          </w:p>
        </w:tc>
        <w:tc>
          <w:tcPr>
            <w:tcW w:w="1331" w:type="dxa"/>
            <w:vMerge w:val="continue"/>
            <w:tcBorders>
              <w:top w:val="single" w:color="auto" w:sz="6" w:space="0"/>
              <w:bottom w:val="single" w:color="auto" w:sz="6" w:space="0"/>
              <w:right w:val="single" w:color="auto" w:sz="6" w:space="0"/>
            </w:tcBorders>
            <w:shd w:val="clear" w:color="auto" w:fill="auto"/>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3" w:hRule="atLeast"/>
          <w:jc w:val="center"/>
        </w:trPr>
        <w:tc>
          <w:tcPr>
            <w:tcW w:w="1020" w:type="dxa"/>
            <w:tcBorders>
              <w:top w:val="single" w:color="auto" w:sz="6" w:space="0"/>
              <w:left w:val="single" w:color="auto" w:sz="6" w:space="0"/>
              <w:bottom w:val="single" w:color="auto" w:sz="6"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预算数</w:t>
            </w:r>
          </w:p>
        </w:tc>
        <w:tc>
          <w:tcPr>
            <w:tcW w:w="1020" w:type="dxa"/>
            <w:tcBorders>
              <w:top w:val="single" w:color="auto" w:sz="6" w:space="0"/>
              <w:left w:val="single" w:color="auto" w:sz="4" w:space="0"/>
              <w:bottom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决算数</w:t>
            </w:r>
          </w:p>
        </w:tc>
        <w:tc>
          <w:tcPr>
            <w:tcW w:w="1019" w:type="dxa"/>
            <w:tcBorders>
              <w:top w:val="single" w:color="auto" w:sz="6" w:space="0"/>
              <w:bottom w:val="single" w:color="auto" w:sz="6"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预算数</w:t>
            </w:r>
          </w:p>
        </w:tc>
        <w:tc>
          <w:tcPr>
            <w:tcW w:w="1019" w:type="dxa"/>
            <w:tcBorders>
              <w:top w:val="single" w:color="auto" w:sz="6" w:space="0"/>
              <w:left w:val="single" w:color="auto" w:sz="4" w:space="0"/>
              <w:bottom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决算数</w:t>
            </w:r>
          </w:p>
        </w:tc>
        <w:tc>
          <w:tcPr>
            <w:tcW w:w="1019" w:type="dxa"/>
            <w:tcBorders>
              <w:top w:val="single" w:color="auto" w:sz="6" w:space="0"/>
              <w:bottom w:val="single" w:color="auto" w:sz="6"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预算数</w:t>
            </w:r>
          </w:p>
        </w:tc>
        <w:tc>
          <w:tcPr>
            <w:tcW w:w="1019" w:type="dxa"/>
            <w:tcBorders>
              <w:top w:val="single" w:color="auto" w:sz="6" w:space="0"/>
              <w:left w:val="single" w:color="auto" w:sz="4" w:space="0"/>
              <w:bottom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决算数</w:t>
            </w:r>
          </w:p>
        </w:tc>
        <w:tc>
          <w:tcPr>
            <w:tcW w:w="1019" w:type="dxa"/>
            <w:tcBorders>
              <w:top w:val="single" w:color="auto" w:sz="6" w:space="0"/>
              <w:bottom w:val="single" w:color="auto" w:sz="6"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预算数</w:t>
            </w:r>
          </w:p>
        </w:tc>
        <w:tc>
          <w:tcPr>
            <w:tcW w:w="1019" w:type="dxa"/>
            <w:tcBorders>
              <w:top w:val="single" w:color="auto" w:sz="6" w:space="0"/>
              <w:left w:val="single" w:color="auto" w:sz="4" w:space="0"/>
              <w:bottom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决算数</w:t>
            </w:r>
          </w:p>
        </w:tc>
        <w:tc>
          <w:tcPr>
            <w:tcW w:w="1019" w:type="dxa"/>
            <w:tcBorders>
              <w:top w:val="single" w:color="auto" w:sz="6" w:space="0"/>
              <w:bottom w:val="single" w:color="auto" w:sz="6"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预算数</w:t>
            </w:r>
          </w:p>
        </w:tc>
        <w:tc>
          <w:tcPr>
            <w:tcW w:w="1019" w:type="dxa"/>
            <w:tcBorders>
              <w:top w:val="single" w:color="auto" w:sz="6" w:space="0"/>
              <w:left w:val="single" w:color="auto" w:sz="4" w:space="0"/>
              <w:bottom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决算数</w:t>
            </w:r>
          </w:p>
        </w:tc>
        <w:tc>
          <w:tcPr>
            <w:tcW w:w="1019" w:type="dxa"/>
            <w:tcBorders>
              <w:top w:val="single" w:color="auto" w:sz="6" w:space="0"/>
              <w:bottom w:val="single" w:color="auto" w:sz="6"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预算数</w:t>
            </w:r>
          </w:p>
        </w:tc>
        <w:tc>
          <w:tcPr>
            <w:tcW w:w="1019" w:type="dxa"/>
            <w:tcBorders>
              <w:top w:val="single" w:color="auto" w:sz="6" w:space="0"/>
              <w:left w:val="single" w:color="auto" w:sz="4" w:space="0"/>
              <w:bottom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决算数</w:t>
            </w:r>
          </w:p>
        </w:tc>
        <w:tc>
          <w:tcPr>
            <w:tcW w:w="1331" w:type="dxa"/>
            <w:vMerge w:val="restart"/>
            <w:tcBorders>
              <w:top w:val="single" w:color="auto" w:sz="6" w:space="0"/>
              <w:right w:val="single" w:color="auto" w:sz="6" w:space="0"/>
            </w:tcBorders>
            <w:shd w:val="clear" w:color="auto" w:fill="auto"/>
            <w:vAlign w:val="center"/>
          </w:tcPr>
          <w:p>
            <w:pPr>
              <w:widowControl/>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1020" w:type="dxa"/>
            <w:tcBorders>
              <w:top w:val="single" w:color="auto" w:sz="6" w:space="0"/>
              <w:left w:val="single" w:color="auto" w:sz="6" w:space="0"/>
              <w:bottom w:val="single" w:color="auto" w:sz="6"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w:t>
            </w:r>
          </w:p>
        </w:tc>
        <w:tc>
          <w:tcPr>
            <w:tcW w:w="1020" w:type="dxa"/>
            <w:tcBorders>
              <w:top w:val="single" w:color="auto" w:sz="6" w:space="0"/>
              <w:left w:val="single" w:color="auto" w:sz="4" w:space="0"/>
              <w:bottom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0</w:t>
            </w:r>
          </w:p>
        </w:tc>
        <w:tc>
          <w:tcPr>
            <w:tcW w:w="1019" w:type="dxa"/>
            <w:tcBorders>
              <w:top w:val="single" w:color="auto" w:sz="6" w:space="0"/>
              <w:bottom w:val="single" w:color="auto" w:sz="6"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w:t>
            </w:r>
          </w:p>
        </w:tc>
        <w:tc>
          <w:tcPr>
            <w:tcW w:w="1019" w:type="dxa"/>
            <w:tcBorders>
              <w:top w:val="single" w:color="auto" w:sz="6" w:space="0"/>
              <w:left w:val="single" w:color="auto" w:sz="4" w:space="0"/>
              <w:bottom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0</w:t>
            </w:r>
          </w:p>
        </w:tc>
        <w:tc>
          <w:tcPr>
            <w:tcW w:w="1019" w:type="dxa"/>
            <w:tcBorders>
              <w:top w:val="single" w:color="auto" w:sz="6" w:space="0"/>
              <w:bottom w:val="single" w:color="auto" w:sz="6"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w:t>
            </w:r>
          </w:p>
        </w:tc>
        <w:tc>
          <w:tcPr>
            <w:tcW w:w="1019" w:type="dxa"/>
            <w:tcBorders>
              <w:top w:val="single" w:color="auto" w:sz="6" w:space="0"/>
              <w:left w:val="single" w:color="auto" w:sz="4" w:space="0"/>
              <w:bottom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0</w:t>
            </w:r>
          </w:p>
        </w:tc>
        <w:tc>
          <w:tcPr>
            <w:tcW w:w="1019" w:type="dxa"/>
            <w:tcBorders>
              <w:top w:val="single" w:color="auto" w:sz="6" w:space="0"/>
              <w:bottom w:val="single" w:color="auto" w:sz="6"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w:t>
            </w:r>
          </w:p>
        </w:tc>
        <w:tc>
          <w:tcPr>
            <w:tcW w:w="1019" w:type="dxa"/>
            <w:tcBorders>
              <w:top w:val="single" w:color="auto" w:sz="6" w:space="0"/>
              <w:left w:val="single" w:color="auto" w:sz="4" w:space="0"/>
              <w:bottom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0</w:t>
            </w:r>
          </w:p>
        </w:tc>
        <w:tc>
          <w:tcPr>
            <w:tcW w:w="1019" w:type="dxa"/>
            <w:tcBorders>
              <w:top w:val="single" w:color="auto" w:sz="6" w:space="0"/>
              <w:bottom w:val="single" w:color="auto" w:sz="6"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w:t>
            </w:r>
          </w:p>
        </w:tc>
        <w:tc>
          <w:tcPr>
            <w:tcW w:w="1019" w:type="dxa"/>
            <w:tcBorders>
              <w:top w:val="single" w:color="auto" w:sz="6" w:space="0"/>
              <w:left w:val="single" w:color="auto" w:sz="4" w:space="0"/>
              <w:bottom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0</w:t>
            </w:r>
          </w:p>
        </w:tc>
        <w:tc>
          <w:tcPr>
            <w:tcW w:w="1019" w:type="dxa"/>
            <w:tcBorders>
              <w:top w:val="single" w:color="auto" w:sz="6" w:space="0"/>
              <w:bottom w:val="single" w:color="auto" w:sz="6"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w:t>
            </w:r>
          </w:p>
        </w:tc>
        <w:tc>
          <w:tcPr>
            <w:tcW w:w="1019" w:type="dxa"/>
            <w:tcBorders>
              <w:top w:val="single" w:color="auto" w:sz="6" w:space="0"/>
              <w:left w:val="single" w:color="auto" w:sz="4" w:space="0"/>
              <w:bottom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0</w:t>
            </w:r>
          </w:p>
        </w:tc>
        <w:tc>
          <w:tcPr>
            <w:tcW w:w="1331" w:type="dxa"/>
            <w:vMerge w:val="continue"/>
            <w:tcBorders>
              <w:bottom w:val="single" w:color="auto" w:sz="6" w:space="0"/>
              <w:right w:val="single" w:color="auto" w:sz="6" w:space="0"/>
            </w:tcBorders>
            <w:shd w:val="clear" w:color="auto" w:fill="auto"/>
          </w:tcPr>
          <w:p>
            <w:pPr>
              <w:widowControl/>
              <w:jc w:val="center"/>
              <w:rPr>
                <w:rFonts w:ascii="宋体" w:hAnsi="宋体"/>
                <w:szCs w:val="21"/>
              </w:rPr>
            </w:pPr>
          </w:p>
        </w:tc>
      </w:tr>
    </w:tbl>
    <w:p>
      <w:pPr>
        <w:autoSpaceDE w:val="0"/>
        <w:autoSpaceDN w:val="0"/>
        <w:adjustRightInd w:val="0"/>
        <w:jc w:val="center"/>
        <w:rPr>
          <w:rFonts w:ascii="宋体" w:hAnsi="宋体"/>
          <w:szCs w:val="21"/>
        </w:rPr>
      </w:pPr>
    </w:p>
    <w:p>
      <w:pPr>
        <w:autoSpaceDE w:val="0"/>
        <w:autoSpaceDN w:val="0"/>
        <w:adjustRightInd w:val="0"/>
        <w:ind w:firstLine="420" w:firstLineChars="200"/>
        <w:rPr>
          <w:rFonts w:ascii="宋体" w:hAnsi="宋体"/>
          <w:szCs w:val="21"/>
        </w:rPr>
        <w:sectPr>
          <w:pgSz w:w="16838" w:h="11906" w:orient="landscape"/>
          <w:pgMar w:top="1797" w:right="1440" w:bottom="1797" w:left="1440" w:header="851" w:footer="992" w:gutter="0"/>
          <w:cols w:space="425" w:num="1"/>
          <w:docGrid w:linePitch="312" w:charSpace="0"/>
        </w:sectPr>
      </w:pPr>
    </w:p>
    <w:p>
      <w:pPr>
        <w:autoSpaceDE w:val="0"/>
        <w:autoSpaceDN w:val="0"/>
        <w:adjustRightInd w:val="0"/>
        <w:jc w:val="center"/>
        <w:outlineLvl w:val="0"/>
        <w:rPr>
          <w:rFonts w:ascii="宋体" w:hAnsi="宋体"/>
          <w:szCs w:val="21"/>
        </w:rPr>
      </w:pPr>
      <w:r>
        <w:rPr>
          <w:rFonts w:hint="eastAsia" w:ascii="宋体" w:hAnsi="宋体"/>
          <w:szCs w:val="21"/>
        </w:rPr>
        <w:t>2018年度政府性基金预算财政拨款支出决算表</w:t>
      </w:r>
    </w:p>
    <w:p>
      <w:pPr>
        <w:autoSpaceDE w:val="0"/>
        <w:autoSpaceDN w:val="0"/>
        <w:adjustRightInd w:val="0"/>
        <w:ind w:right="360"/>
        <w:jc w:val="right"/>
        <w:rPr>
          <w:rFonts w:ascii="宋体" w:hAnsi="宋体"/>
          <w:szCs w:val="21"/>
        </w:rPr>
      </w:pPr>
      <w:r>
        <w:rPr>
          <w:rFonts w:hint="eastAsia" w:ascii="宋体" w:hAnsi="宋体"/>
          <w:szCs w:val="21"/>
        </w:rPr>
        <w:t>单位：万元</w:t>
      </w:r>
    </w:p>
    <w:tbl>
      <w:tblPr>
        <w:tblStyle w:val="11"/>
        <w:tblW w:w="7998" w:type="dxa"/>
        <w:jc w:val="center"/>
        <w:tblInd w:w="-313" w:type="dxa"/>
        <w:tblLayout w:type="fixed"/>
        <w:tblCellMar>
          <w:top w:w="0" w:type="dxa"/>
          <w:left w:w="108" w:type="dxa"/>
          <w:bottom w:w="0" w:type="dxa"/>
          <w:right w:w="108" w:type="dxa"/>
        </w:tblCellMar>
      </w:tblPr>
      <w:tblGrid>
        <w:gridCol w:w="563"/>
        <w:gridCol w:w="540"/>
        <w:gridCol w:w="540"/>
        <w:gridCol w:w="1800"/>
        <w:gridCol w:w="1620"/>
        <w:gridCol w:w="1440"/>
        <w:gridCol w:w="1495"/>
      </w:tblGrid>
      <w:tr>
        <w:tblPrEx>
          <w:tblLayout w:type="fixed"/>
          <w:tblCellMar>
            <w:top w:w="0" w:type="dxa"/>
            <w:left w:w="108" w:type="dxa"/>
            <w:bottom w:w="0" w:type="dxa"/>
            <w:right w:w="108" w:type="dxa"/>
          </w:tblCellMar>
        </w:tblPrEx>
        <w:trPr>
          <w:trHeight w:val="480" w:hRule="atLeast"/>
          <w:jc w:val="center"/>
        </w:trPr>
        <w:tc>
          <w:tcPr>
            <w:tcW w:w="344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项目</w:t>
            </w:r>
          </w:p>
        </w:tc>
        <w:tc>
          <w:tcPr>
            <w:tcW w:w="1620" w:type="dxa"/>
            <w:vMerge w:val="restart"/>
            <w:tcBorders>
              <w:top w:val="single" w:color="auto" w:sz="4" w:space="0"/>
              <w:left w:val="nil"/>
              <w:right w:val="single" w:color="auto" w:sz="4" w:space="0"/>
            </w:tcBorders>
            <w:vAlign w:val="center"/>
          </w:tcPr>
          <w:p>
            <w:pPr>
              <w:widowControl/>
              <w:jc w:val="center"/>
              <w:rPr>
                <w:rFonts w:ascii="宋体" w:hAnsi="宋体"/>
                <w:szCs w:val="21"/>
              </w:rPr>
            </w:pPr>
            <w:r>
              <w:rPr>
                <w:rFonts w:hint="eastAsia" w:ascii="宋体" w:hAnsi="宋体"/>
                <w:szCs w:val="21"/>
              </w:rPr>
              <w:t>合计</w:t>
            </w:r>
          </w:p>
        </w:tc>
        <w:tc>
          <w:tcPr>
            <w:tcW w:w="1440" w:type="dxa"/>
            <w:vMerge w:val="restart"/>
            <w:tcBorders>
              <w:top w:val="single" w:color="auto" w:sz="4" w:space="0"/>
              <w:left w:val="nil"/>
              <w:right w:val="single" w:color="auto" w:sz="4" w:space="0"/>
            </w:tcBorders>
            <w:vAlign w:val="center"/>
          </w:tcPr>
          <w:p>
            <w:pPr>
              <w:widowControl/>
              <w:jc w:val="center"/>
              <w:rPr>
                <w:rFonts w:ascii="宋体" w:hAnsi="宋体"/>
                <w:szCs w:val="21"/>
              </w:rPr>
            </w:pPr>
            <w:r>
              <w:rPr>
                <w:rFonts w:hint="eastAsia" w:ascii="宋体" w:hAnsi="宋体"/>
                <w:szCs w:val="21"/>
              </w:rPr>
              <w:t>基本支出</w:t>
            </w:r>
          </w:p>
        </w:tc>
        <w:tc>
          <w:tcPr>
            <w:tcW w:w="1495" w:type="dxa"/>
            <w:vMerge w:val="restart"/>
            <w:tcBorders>
              <w:top w:val="single" w:color="auto" w:sz="4" w:space="0"/>
              <w:left w:val="nil"/>
              <w:right w:val="single" w:color="auto" w:sz="4" w:space="0"/>
            </w:tcBorders>
            <w:vAlign w:val="center"/>
          </w:tcPr>
          <w:p>
            <w:pPr>
              <w:jc w:val="center"/>
              <w:rPr>
                <w:rFonts w:ascii="宋体" w:hAnsi="宋体"/>
                <w:szCs w:val="21"/>
              </w:rPr>
            </w:pPr>
            <w:r>
              <w:rPr>
                <w:rFonts w:hint="eastAsia" w:ascii="宋体" w:hAnsi="宋体"/>
                <w:szCs w:val="21"/>
              </w:rPr>
              <w:t>项目支出</w:t>
            </w:r>
          </w:p>
        </w:tc>
      </w:tr>
      <w:tr>
        <w:tblPrEx>
          <w:tblLayout w:type="fixed"/>
          <w:tblCellMar>
            <w:top w:w="0" w:type="dxa"/>
            <w:left w:w="108" w:type="dxa"/>
            <w:bottom w:w="0" w:type="dxa"/>
            <w:right w:w="108" w:type="dxa"/>
          </w:tblCellMar>
        </w:tblPrEx>
        <w:trPr>
          <w:trHeight w:val="480" w:hRule="atLeast"/>
          <w:jc w:val="center"/>
        </w:trPr>
        <w:tc>
          <w:tcPr>
            <w:tcW w:w="164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功能分类</w:t>
            </w:r>
          </w:p>
          <w:p>
            <w:pPr>
              <w:widowControl/>
              <w:jc w:val="center"/>
              <w:rPr>
                <w:rFonts w:ascii="宋体" w:hAnsi="宋体"/>
                <w:szCs w:val="21"/>
              </w:rPr>
            </w:pPr>
            <w:r>
              <w:rPr>
                <w:rFonts w:hint="eastAsia" w:ascii="宋体" w:hAnsi="宋体"/>
                <w:szCs w:val="21"/>
              </w:rPr>
              <w:t>科目编码</w:t>
            </w:r>
          </w:p>
        </w:tc>
        <w:tc>
          <w:tcPr>
            <w:tcW w:w="180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科目名称</w:t>
            </w:r>
          </w:p>
        </w:tc>
        <w:tc>
          <w:tcPr>
            <w:tcW w:w="1620" w:type="dxa"/>
            <w:vMerge w:val="continue"/>
            <w:tcBorders>
              <w:left w:val="single" w:color="auto" w:sz="4" w:space="0"/>
              <w:right w:val="single" w:color="auto" w:sz="4" w:space="0"/>
            </w:tcBorders>
            <w:vAlign w:val="center"/>
          </w:tcPr>
          <w:p>
            <w:pPr>
              <w:widowControl/>
              <w:jc w:val="center"/>
              <w:rPr>
                <w:rFonts w:ascii="宋体" w:hAnsi="宋体"/>
                <w:szCs w:val="21"/>
              </w:rPr>
            </w:pPr>
          </w:p>
        </w:tc>
        <w:tc>
          <w:tcPr>
            <w:tcW w:w="1440" w:type="dxa"/>
            <w:vMerge w:val="continue"/>
            <w:tcBorders>
              <w:left w:val="single" w:color="auto" w:sz="4" w:space="0"/>
              <w:right w:val="single" w:color="auto" w:sz="4" w:space="0"/>
            </w:tcBorders>
            <w:vAlign w:val="center"/>
          </w:tcPr>
          <w:p>
            <w:pPr>
              <w:widowControl/>
              <w:jc w:val="center"/>
              <w:rPr>
                <w:rFonts w:ascii="宋体" w:hAnsi="宋体"/>
                <w:szCs w:val="21"/>
              </w:rPr>
            </w:pPr>
          </w:p>
        </w:tc>
        <w:tc>
          <w:tcPr>
            <w:tcW w:w="1495" w:type="dxa"/>
            <w:vMerge w:val="continue"/>
            <w:tcBorders>
              <w:left w:val="single" w:color="auto" w:sz="4" w:space="0"/>
              <w:right w:val="single" w:color="auto" w:sz="4" w:space="0"/>
            </w:tcBorders>
            <w:vAlign w:val="center"/>
          </w:tcPr>
          <w:p>
            <w:pPr>
              <w:widowControl/>
              <w:jc w:val="center"/>
              <w:rPr>
                <w:rFonts w:ascii="宋体" w:hAnsi="宋体"/>
                <w:szCs w:val="21"/>
              </w:rPr>
            </w:pPr>
          </w:p>
        </w:tc>
      </w:tr>
      <w:tr>
        <w:tblPrEx>
          <w:tblLayout w:type="fixed"/>
          <w:tblCellMar>
            <w:top w:w="0" w:type="dxa"/>
            <w:left w:w="108" w:type="dxa"/>
            <w:bottom w:w="0" w:type="dxa"/>
            <w:right w:w="108" w:type="dxa"/>
          </w:tblCellMar>
        </w:tblPrEx>
        <w:trPr>
          <w:trHeight w:val="480" w:hRule="atLeast"/>
          <w:jc w:val="center"/>
        </w:trPr>
        <w:tc>
          <w:tcPr>
            <w:tcW w:w="563" w:type="dxa"/>
            <w:tcBorders>
              <w:top w:val="nil"/>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类</w:t>
            </w:r>
          </w:p>
        </w:tc>
        <w:tc>
          <w:tcPr>
            <w:tcW w:w="540"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款</w:t>
            </w:r>
          </w:p>
        </w:tc>
        <w:tc>
          <w:tcPr>
            <w:tcW w:w="540" w:type="dxa"/>
            <w:tcBorders>
              <w:top w:val="nil"/>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项</w:t>
            </w:r>
          </w:p>
        </w:tc>
        <w:tc>
          <w:tcPr>
            <w:tcW w:w="1800" w:type="dxa"/>
            <w:vMerge w:val="continue"/>
            <w:tcBorders>
              <w:top w:val="nil"/>
              <w:left w:val="single" w:color="auto" w:sz="4" w:space="0"/>
              <w:bottom w:val="single" w:color="auto" w:sz="4" w:space="0"/>
              <w:right w:val="single" w:color="auto" w:sz="4" w:space="0"/>
            </w:tcBorders>
            <w:vAlign w:val="center"/>
          </w:tcPr>
          <w:p>
            <w:pPr>
              <w:widowControl/>
              <w:rPr>
                <w:rFonts w:ascii="宋体" w:hAnsi="宋体"/>
                <w:szCs w:val="21"/>
              </w:rPr>
            </w:pPr>
          </w:p>
        </w:tc>
        <w:tc>
          <w:tcPr>
            <w:tcW w:w="1620" w:type="dxa"/>
            <w:vMerge w:val="continue"/>
            <w:tcBorders>
              <w:left w:val="single" w:color="auto" w:sz="4" w:space="0"/>
              <w:bottom w:val="single" w:color="auto" w:sz="4" w:space="0"/>
              <w:right w:val="single" w:color="auto" w:sz="4" w:space="0"/>
            </w:tcBorders>
            <w:vAlign w:val="center"/>
          </w:tcPr>
          <w:p>
            <w:pPr>
              <w:widowControl/>
              <w:rPr>
                <w:rFonts w:ascii="宋体" w:hAnsi="宋体"/>
                <w:szCs w:val="21"/>
              </w:rPr>
            </w:pPr>
          </w:p>
        </w:tc>
        <w:tc>
          <w:tcPr>
            <w:tcW w:w="1440" w:type="dxa"/>
            <w:vMerge w:val="continue"/>
            <w:tcBorders>
              <w:left w:val="single" w:color="auto" w:sz="4" w:space="0"/>
              <w:bottom w:val="single" w:color="auto" w:sz="4" w:space="0"/>
              <w:right w:val="single" w:color="auto" w:sz="4" w:space="0"/>
            </w:tcBorders>
            <w:vAlign w:val="center"/>
          </w:tcPr>
          <w:p>
            <w:pPr>
              <w:widowControl/>
              <w:rPr>
                <w:rFonts w:ascii="宋体" w:hAnsi="宋体"/>
                <w:szCs w:val="21"/>
              </w:rPr>
            </w:pPr>
          </w:p>
        </w:tc>
        <w:tc>
          <w:tcPr>
            <w:tcW w:w="1495" w:type="dxa"/>
            <w:vMerge w:val="continue"/>
            <w:tcBorders>
              <w:left w:val="single" w:color="auto" w:sz="4" w:space="0"/>
              <w:bottom w:val="single" w:color="auto" w:sz="4" w:space="0"/>
              <w:right w:val="single" w:color="auto"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480" w:hRule="atLeast"/>
          <w:jc w:val="center"/>
        </w:trPr>
        <w:tc>
          <w:tcPr>
            <w:tcW w:w="563"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540" w:type="dxa"/>
            <w:tcBorders>
              <w:top w:val="nil"/>
              <w:left w:val="nil"/>
              <w:bottom w:val="single" w:color="auto" w:sz="4" w:space="0"/>
              <w:right w:val="single" w:color="auto" w:sz="4" w:space="0"/>
            </w:tcBorders>
            <w:vAlign w:val="center"/>
          </w:tcPr>
          <w:p>
            <w:pPr>
              <w:jc w:val="center"/>
              <w:rPr>
                <w:rFonts w:ascii="宋体" w:hAnsi="宋体" w:cs="宋体"/>
                <w:szCs w:val="21"/>
              </w:rPr>
            </w:pPr>
          </w:p>
        </w:tc>
        <w:tc>
          <w:tcPr>
            <w:tcW w:w="540" w:type="dxa"/>
            <w:tcBorders>
              <w:top w:val="nil"/>
              <w:left w:val="nil"/>
              <w:bottom w:val="single" w:color="auto" w:sz="4" w:space="0"/>
              <w:right w:val="single" w:color="auto" w:sz="4" w:space="0"/>
            </w:tcBorders>
            <w:vAlign w:val="center"/>
          </w:tcPr>
          <w:p>
            <w:pPr>
              <w:jc w:val="center"/>
              <w:rPr>
                <w:rFonts w:ascii="宋体" w:hAnsi="宋体" w:cs="宋体"/>
                <w:szCs w:val="21"/>
              </w:rPr>
            </w:pPr>
          </w:p>
        </w:tc>
        <w:tc>
          <w:tcPr>
            <w:tcW w:w="1800" w:type="dxa"/>
            <w:tcBorders>
              <w:top w:val="nil"/>
              <w:left w:val="nil"/>
              <w:bottom w:val="single" w:color="auto" w:sz="4" w:space="0"/>
              <w:right w:val="single" w:color="auto" w:sz="4" w:space="0"/>
            </w:tcBorders>
            <w:vAlign w:val="center"/>
          </w:tcPr>
          <w:p>
            <w:pPr>
              <w:rPr>
                <w:rFonts w:ascii="宋体" w:hAnsi="宋体" w:cs="宋体"/>
                <w:szCs w:val="21"/>
              </w:rPr>
            </w:pPr>
          </w:p>
        </w:tc>
        <w:tc>
          <w:tcPr>
            <w:tcW w:w="1620" w:type="dxa"/>
            <w:tcBorders>
              <w:top w:val="nil"/>
              <w:left w:val="nil"/>
              <w:bottom w:val="single" w:color="auto" w:sz="4" w:space="0"/>
              <w:right w:val="single" w:color="auto" w:sz="4" w:space="0"/>
            </w:tcBorders>
            <w:vAlign w:val="center"/>
          </w:tcPr>
          <w:p>
            <w:pPr>
              <w:widowControl/>
              <w:rPr>
                <w:rFonts w:ascii="宋体" w:hAnsi="宋体"/>
                <w:szCs w:val="21"/>
              </w:rPr>
            </w:pPr>
          </w:p>
        </w:tc>
        <w:tc>
          <w:tcPr>
            <w:tcW w:w="1440" w:type="dxa"/>
            <w:tcBorders>
              <w:top w:val="nil"/>
              <w:left w:val="nil"/>
              <w:bottom w:val="single" w:color="auto" w:sz="4" w:space="0"/>
              <w:right w:val="single" w:color="auto" w:sz="4" w:space="0"/>
            </w:tcBorders>
            <w:vAlign w:val="center"/>
          </w:tcPr>
          <w:p>
            <w:pPr>
              <w:widowControl/>
              <w:rPr>
                <w:rFonts w:ascii="宋体" w:hAnsi="宋体"/>
                <w:szCs w:val="21"/>
              </w:rPr>
            </w:pPr>
          </w:p>
        </w:tc>
        <w:tc>
          <w:tcPr>
            <w:tcW w:w="1495" w:type="dxa"/>
            <w:tcBorders>
              <w:top w:val="nil"/>
              <w:left w:val="nil"/>
              <w:bottom w:val="single" w:color="auto" w:sz="4" w:space="0"/>
              <w:right w:val="single" w:color="auto"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480" w:hRule="atLeast"/>
          <w:jc w:val="center"/>
        </w:trPr>
        <w:tc>
          <w:tcPr>
            <w:tcW w:w="563"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540" w:type="dxa"/>
            <w:tcBorders>
              <w:top w:val="nil"/>
              <w:left w:val="nil"/>
              <w:bottom w:val="single" w:color="auto" w:sz="4" w:space="0"/>
              <w:right w:val="single" w:color="auto" w:sz="4" w:space="0"/>
            </w:tcBorders>
            <w:vAlign w:val="center"/>
          </w:tcPr>
          <w:p>
            <w:pPr>
              <w:jc w:val="center"/>
              <w:rPr>
                <w:rFonts w:ascii="宋体" w:hAnsi="宋体" w:cs="宋体"/>
                <w:szCs w:val="21"/>
              </w:rPr>
            </w:pPr>
          </w:p>
        </w:tc>
        <w:tc>
          <w:tcPr>
            <w:tcW w:w="540" w:type="dxa"/>
            <w:tcBorders>
              <w:top w:val="nil"/>
              <w:left w:val="nil"/>
              <w:bottom w:val="single" w:color="auto" w:sz="4" w:space="0"/>
              <w:right w:val="single" w:color="auto" w:sz="4" w:space="0"/>
            </w:tcBorders>
            <w:vAlign w:val="center"/>
          </w:tcPr>
          <w:p>
            <w:pPr>
              <w:jc w:val="center"/>
              <w:rPr>
                <w:rFonts w:ascii="宋体" w:hAnsi="宋体" w:cs="宋体"/>
                <w:szCs w:val="21"/>
              </w:rPr>
            </w:pPr>
          </w:p>
        </w:tc>
        <w:tc>
          <w:tcPr>
            <w:tcW w:w="1800" w:type="dxa"/>
            <w:tcBorders>
              <w:top w:val="nil"/>
              <w:left w:val="nil"/>
              <w:bottom w:val="single" w:color="auto" w:sz="4" w:space="0"/>
              <w:right w:val="single" w:color="auto" w:sz="4" w:space="0"/>
            </w:tcBorders>
            <w:vAlign w:val="center"/>
          </w:tcPr>
          <w:p>
            <w:pPr>
              <w:rPr>
                <w:rFonts w:ascii="宋体" w:hAnsi="宋体" w:cs="宋体"/>
                <w:szCs w:val="21"/>
              </w:rPr>
            </w:pPr>
          </w:p>
        </w:tc>
        <w:tc>
          <w:tcPr>
            <w:tcW w:w="1620" w:type="dxa"/>
            <w:tcBorders>
              <w:top w:val="nil"/>
              <w:left w:val="nil"/>
              <w:bottom w:val="single" w:color="auto" w:sz="4" w:space="0"/>
              <w:right w:val="single" w:color="auto" w:sz="4" w:space="0"/>
            </w:tcBorders>
            <w:vAlign w:val="center"/>
          </w:tcPr>
          <w:p>
            <w:pPr>
              <w:widowControl/>
              <w:rPr>
                <w:rFonts w:ascii="宋体" w:hAnsi="宋体"/>
                <w:szCs w:val="21"/>
              </w:rPr>
            </w:pPr>
          </w:p>
        </w:tc>
        <w:tc>
          <w:tcPr>
            <w:tcW w:w="1440" w:type="dxa"/>
            <w:tcBorders>
              <w:top w:val="nil"/>
              <w:left w:val="nil"/>
              <w:bottom w:val="single" w:color="auto" w:sz="4" w:space="0"/>
              <w:right w:val="single" w:color="auto" w:sz="4" w:space="0"/>
            </w:tcBorders>
            <w:vAlign w:val="center"/>
          </w:tcPr>
          <w:p>
            <w:pPr>
              <w:widowControl/>
              <w:rPr>
                <w:rFonts w:ascii="宋体" w:hAnsi="宋体"/>
                <w:szCs w:val="21"/>
              </w:rPr>
            </w:pPr>
          </w:p>
        </w:tc>
        <w:tc>
          <w:tcPr>
            <w:tcW w:w="1495" w:type="dxa"/>
            <w:tcBorders>
              <w:top w:val="nil"/>
              <w:left w:val="nil"/>
              <w:bottom w:val="single" w:color="auto" w:sz="4" w:space="0"/>
              <w:right w:val="single" w:color="auto" w:sz="4" w:space="0"/>
            </w:tcBorders>
            <w:vAlign w:val="center"/>
          </w:tcPr>
          <w:p>
            <w:pPr>
              <w:widowControl/>
              <w:rPr>
                <w:rFonts w:ascii="宋体" w:hAnsi="宋体"/>
                <w:szCs w:val="21"/>
              </w:rPr>
            </w:pPr>
          </w:p>
        </w:tc>
      </w:tr>
      <w:tr>
        <w:tblPrEx>
          <w:tblLayout w:type="fixed"/>
        </w:tblPrEx>
        <w:trPr>
          <w:trHeight w:val="480" w:hRule="atLeast"/>
          <w:jc w:val="center"/>
        </w:trPr>
        <w:tc>
          <w:tcPr>
            <w:tcW w:w="563"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540" w:type="dxa"/>
            <w:tcBorders>
              <w:top w:val="nil"/>
              <w:left w:val="nil"/>
              <w:bottom w:val="single" w:color="auto" w:sz="4" w:space="0"/>
              <w:right w:val="single" w:color="auto" w:sz="4" w:space="0"/>
            </w:tcBorders>
            <w:vAlign w:val="center"/>
          </w:tcPr>
          <w:p>
            <w:pPr>
              <w:jc w:val="center"/>
              <w:rPr>
                <w:rFonts w:ascii="宋体" w:hAnsi="宋体" w:cs="宋体"/>
                <w:szCs w:val="21"/>
              </w:rPr>
            </w:pPr>
          </w:p>
        </w:tc>
        <w:tc>
          <w:tcPr>
            <w:tcW w:w="540" w:type="dxa"/>
            <w:tcBorders>
              <w:top w:val="nil"/>
              <w:left w:val="nil"/>
              <w:bottom w:val="single" w:color="auto" w:sz="4" w:space="0"/>
              <w:right w:val="single" w:color="auto" w:sz="4" w:space="0"/>
            </w:tcBorders>
            <w:vAlign w:val="center"/>
          </w:tcPr>
          <w:p>
            <w:pPr>
              <w:jc w:val="center"/>
              <w:rPr>
                <w:rFonts w:ascii="宋体" w:hAnsi="宋体" w:cs="宋体"/>
                <w:szCs w:val="21"/>
              </w:rPr>
            </w:pPr>
          </w:p>
        </w:tc>
        <w:tc>
          <w:tcPr>
            <w:tcW w:w="1800" w:type="dxa"/>
            <w:tcBorders>
              <w:top w:val="nil"/>
              <w:left w:val="nil"/>
              <w:bottom w:val="single" w:color="auto" w:sz="4" w:space="0"/>
              <w:right w:val="single" w:color="auto" w:sz="4" w:space="0"/>
            </w:tcBorders>
            <w:vAlign w:val="center"/>
          </w:tcPr>
          <w:p>
            <w:pPr>
              <w:rPr>
                <w:rFonts w:ascii="宋体" w:hAnsi="宋体" w:cs="宋体"/>
                <w:szCs w:val="21"/>
              </w:rPr>
            </w:pPr>
          </w:p>
        </w:tc>
        <w:tc>
          <w:tcPr>
            <w:tcW w:w="1620" w:type="dxa"/>
            <w:tcBorders>
              <w:top w:val="nil"/>
              <w:left w:val="nil"/>
              <w:bottom w:val="single" w:color="auto" w:sz="4" w:space="0"/>
              <w:right w:val="single" w:color="auto" w:sz="4" w:space="0"/>
            </w:tcBorders>
            <w:vAlign w:val="center"/>
          </w:tcPr>
          <w:p>
            <w:pPr>
              <w:widowControl/>
              <w:rPr>
                <w:rFonts w:ascii="宋体" w:hAnsi="宋体"/>
                <w:szCs w:val="21"/>
              </w:rPr>
            </w:pPr>
          </w:p>
        </w:tc>
        <w:tc>
          <w:tcPr>
            <w:tcW w:w="1440" w:type="dxa"/>
            <w:tcBorders>
              <w:top w:val="nil"/>
              <w:left w:val="nil"/>
              <w:bottom w:val="single" w:color="auto" w:sz="4" w:space="0"/>
              <w:right w:val="single" w:color="auto" w:sz="4" w:space="0"/>
            </w:tcBorders>
            <w:vAlign w:val="center"/>
          </w:tcPr>
          <w:p>
            <w:pPr>
              <w:widowControl/>
              <w:rPr>
                <w:rFonts w:ascii="宋体" w:hAnsi="宋体"/>
                <w:szCs w:val="21"/>
              </w:rPr>
            </w:pPr>
          </w:p>
        </w:tc>
        <w:tc>
          <w:tcPr>
            <w:tcW w:w="1495" w:type="dxa"/>
            <w:tcBorders>
              <w:top w:val="nil"/>
              <w:left w:val="nil"/>
              <w:bottom w:val="single" w:color="auto" w:sz="4" w:space="0"/>
              <w:right w:val="single" w:color="auto"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480" w:hRule="atLeast"/>
          <w:jc w:val="center"/>
        </w:trPr>
        <w:tc>
          <w:tcPr>
            <w:tcW w:w="563"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540" w:type="dxa"/>
            <w:tcBorders>
              <w:top w:val="nil"/>
              <w:left w:val="nil"/>
              <w:bottom w:val="single" w:color="auto" w:sz="4" w:space="0"/>
              <w:right w:val="single" w:color="auto" w:sz="4" w:space="0"/>
            </w:tcBorders>
            <w:vAlign w:val="center"/>
          </w:tcPr>
          <w:p>
            <w:pPr>
              <w:jc w:val="center"/>
              <w:rPr>
                <w:rFonts w:ascii="宋体" w:hAnsi="宋体" w:cs="宋体"/>
                <w:szCs w:val="21"/>
              </w:rPr>
            </w:pPr>
          </w:p>
        </w:tc>
        <w:tc>
          <w:tcPr>
            <w:tcW w:w="540" w:type="dxa"/>
            <w:tcBorders>
              <w:top w:val="nil"/>
              <w:left w:val="nil"/>
              <w:bottom w:val="single" w:color="auto" w:sz="4" w:space="0"/>
              <w:right w:val="single" w:color="auto" w:sz="4" w:space="0"/>
            </w:tcBorders>
            <w:vAlign w:val="center"/>
          </w:tcPr>
          <w:p>
            <w:pPr>
              <w:jc w:val="center"/>
              <w:rPr>
                <w:rFonts w:ascii="宋体" w:hAnsi="宋体" w:cs="宋体"/>
                <w:szCs w:val="21"/>
              </w:rPr>
            </w:pPr>
          </w:p>
        </w:tc>
        <w:tc>
          <w:tcPr>
            <w:tcW w:w="1800" w:type="dxa"/>
            <w:tcBorders>
              <w:top w:val="nil"/>
              <w:left w:val="nil"/>
              <w:bottom w:val="single" w:color="auto" w:sz="4" w:space="0"/>
              <w:right w:val="single" w:color="auto" w:sz="4" w:space="0"/>
            </w:tcBorders>
            <w:vAlign w:val="center"/>
          </w:tcPr>
          <w:p>
            <w:pPr>
              <w:rPr>
                <w:rFonts w:ascii="宋体" w:hAnsi="宋体" w:cs="宋体"/>
                <w:szCs w:val="21"/>
              </w:rPr>
            </w:pPr>
          </w:p>
        </w:tc>
        <w:tc>
          <w:tcPr>
            <w:tcW w:w="1620" w:type="dxa"/>
            <w:tcBorders>
              <w:top w:val="nil"/>
              <w:left w:val="nil"/>
              <w:bottom w:val="single" w:color="auto" w:sz="4" w:space="0"/>
              <w:right w:val="single" w:color="auto" w:sz="4" w:space="0"/>
            </w:tcBorders>
            <w:vAlign w:val="center"/>
          </w:tcPr>
          <w:p>
            <w:pPr>
              <w:widowControl/>
              <w:rPr>
                <w:rFonts w:ascii="宋体" w:hAnsi="宋体"/>
                <w:szCs w:val="21"/>
              </w:rPr>
            </w:pPr>
          </w:p>
        </w:tc>
        <w:tc>
          <w:tcPr>
            <w:tcW w:w="1440" w:type="dxa"/>
            <w:tcBorders>
              <w:top w:val="nil"/>
              <w:left w:val="nil"/>
              <w:bottom w:val="single" w:color="auto" w:sz="4" w:space="0"/>
              <w:right w:val="single" w:color="auto" w:sz="4" w:space="0"/>
            </w:tcBorders>
            <w:vAlign w:val="center"/>
          </w:tcPr>
          <w:p>
            <w:pPr>
              <w:widowControl/>
              <w:rPr>
                <w:rFonts w:ascii="宋体" w:hAnsi="宋体"/>
                <w:szCs w:val="21"/>
              </w:rPr>
            </w:pPr>
          </w:p>
        </w:tc>
        <w:tc>
          <w:tcPr>
            <w:tcW w:w="1495" w:type="dxa"/>
            <w:tcBorders>
              <w:top w:val="nil"/>
              <w:left w:val="nil"/>
              <w:bottom w:val="single" w:color="auto" w:sz="4" w:space="0"/>
              <w:right w:val="single" w:color="auto" w:sz="4" w:space="0"/>
            </w:tcBorders>
            <w:vAlign w:val="center"/>
          </w:tcPr>
          <w:p>
            <w:pPr>
              <w:widowControl/>
              <w:rPr>
                <w:rFonts w:ascii="宋体" w:hAnsi="宋体"/>
                <w:szCs w:val="21"/>
              </w:rPr>
            </w:pPr>
          </w:p>
        </w:tc>
      </w:tr>
      <w:tr>
        <w:tblPrEx>
          <w:tblLayout w:type="fixed"/>
          <w:tblCellMar>
            <w:top w:w="0" w:type="dxa"/>
            <w:left w:w="108" w:type="dxa"/>
            <w:bottom w:w="0" w:type="dxa"/>
            <w:right w:w="108" w:type="dxa"/>
          </w:tblCellMar>
        </w:tblPrEx>
        <w:trPr>
          <w:trHeight w:val="480" w:hRule="atLeast"/>
          <w:jc w:val="center"/>
        </w:trPr>
        <w:tc>
          <w:tcPr>
            <w:tcW w:w="3443"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620" w:type="dxa"/>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1440" w:type="dxa"/>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1495" w:type="dxa"/>
            <w:tcBorders>
              <w:top w:val="nil"/>
              <w:left w:val="nil"/>
              <w:bottom w:val="single" w:color="auto" w:sz="4" w:space="0"/>
              <w:right w:val="single" w:color="auto" w:sz="4" w:space="0"/>
            </w:tcBorders>
            <w:vAlign w:val="center"/>
          </w:tcPr>
          <w:p>
            <w:pPr>
              <w:widowControl/>
              <w:rPr>
                <w:rFonts w:ascii="宋体" w:hAnsi="宋体" w:cs="宋体"/>
                <w:kern w:val="0"/>
                <w:szCs w:val="21"/>
              </w:rPr>
            </w:pPr>
          </w:p>
        </w:tc>
      </w:tr>
    </w:tbl>
    <w:p>
      <w:pPr>
        <w:rPr>
          <w:rFonts w:ascii="宋体" w:hAnsi="宋体"/>
          <w:szCs w:val="21"/>
        </w:rPr>
      </w:pPr>
      <w:r>
        <w:rPr>
          <w:rFonts w:hint="eastAsia" w:ascii="宋体" w:hAnsi="宋体"/>
          <w:szCs w:val="21"/>
        </w:rPr>
        <w:t>注：上海市松江区石湖荡镇社区卫生服务中心2018年度无政府性基金预算财政拨款支出，故本表无数据。</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tbl>
      <w:tblPr>
        <w:tblStyle w:val="11"/>
        <w:tblW w:w="10937" w:type="dxa"/>
        <w:jc w:val="center"/>
        <w:tblInd w:w="2676" w:type="dxa"/>
        <w:tblLayout w:type="fixed"/>
        <w:tblCellMar>
          <w:top w:w="0" w:type="dxa"/>
          <w:left w:w="108" w:type="dxa"/>
          <w:bottom w:w="0" w:type="dxa"/>
          <w:right w:w="108" w:type="dxa"/>
        </w:tblCellMar>
      </w:tblPr>
      <w:tblGrid>
        <w:gridCol w:w="6316"/>
        <w:gridCol w:w="1192"/>
        <w:gridCol w:w="1025"/>
        <w:gridCol w:w="1243"/>
        <w:gridCol w:w="1161"/>
      </w:tblGrid>
      <w:tr>
        <w:tblPrEx>
          <w:tblLayout w:type="fixed"/>
          <w:tblCellMar>
            <w:top w:w="0" w:type="dxa"/>
            <w:left w:w="108" w:type="dxa"/>
            <w:bottom w:w="0" w:type="dxa"/>
            <w:right w:w="108" w:type="dxa"/>
          </w:tblCellMar>
        </w:tblPrEx>
        <w:trPr>
          <w:trHeight w:val="660" w:hRule="atLeast"/>
          <w:jc w:val="center"/>
        </w:trPr>
        <w:tc>
          <w:tcPr>
            <w:tcW w:w="10937" w:type="dxa"/>
            <w:gridSpan w:val="5"/>
            <w:tcBorders>
              <w:top w:val="nil"/>
              <w:left w:val="nil"/>
              <w:right w:val="nil"/>
            </w:tcBorders>
            <w:shd w:val="clear" w:color="auto" w:fill="auto"/>
            <w:vAlign w:val="center"/>
          </w:tcPr>
          <w:p>
            <w:pPr>
              <w:widowControl/>
              <w:jc w:val="center"/>
              <w:rPr>
                <w:rFonts w:ascii="宋体" w:hAnsi="宋体" w:cs="宋体"/>
                <w:b/>
                <w:bCs/>
                <w:color w:val="000000"/>
                <w:kern w:val="0"/>
                <w:szCs w:val="21"/>
              </w:rPr>
            </w:pPr>
            <w:r>
              <w:rPr>
                <w:rFonts w:hint="eastAsia" w:ascii="宋体" w:hAnsi="宋体"/>
                <w:szCs w:val="21"/>
              </w:rPr>
              <w:t>2018年度资产负债情况表</w:t>
            </w:r>
          </w:p>
        </w:tc>
      </w:tr>
      <w:tr>
        <w:tblPrEx>
          <w:tblLayout w:type="fixed"/>
          <w:tblCellMar>
            <w:top w:w="0" w:type="dxa"/>
            <w:left w:w="108" w:type="dxa"/>
            <w:bottom w:w="0" w:type="dxa"/>
            <w:right w:w="108" w:type="dxa"/>
          </w:tblCellMar>
        </w:tblPrEx>
        <w:trPr>
          <w:trHeight w:val="435" w:hRule="atLeast"/>
          <w:jc w:val="center"/>
        </w:trPr>
        <w:tc>
          <w:tcPr>
            <w:tcW w:w="6316" w:type="dxa"/>
            <w:tcBorders>
              <w:bottom w:val="single" w:color="000000" w:sz="4" w:space="0"/>
            </w:tcBorders>
            <w:shd w:val="clear" w:color="auto" w:fill="auto"/>
            <w:vAlign w:val="center"/>
          </w:tcPr>
          <w:p>
            <w:pPr>
              <w:widowControl/>
              <w:jc w:val="center"/>
              <w:rPr>
                <w:rFonts w:ascii="宋体" w:hAnsi="宋体" w:cs="宋体"/>
                <w:color w:val="000000"/>
                <w:kern w:val="0"/>
                <w:szCs w:val="21"/>
              </w:rPr>
            </w:pPr>
          </w:p>
        </w:tc>
        <w:tc>
          <w:tcPr>
            <w:tcW w:w="2217" w:type="dxa"/>
            <w:gridSpan w:val="2"/>
            <w:tcBorders>
              <w:bottom w:val="single" w:color="auto" w:sz="4" w:space="0"/>
            </w:tcBorders>
            <w:shd w:val="clear" w:color="auto" w:fill="auto"/>
            <w:vAlign w:val="center"/>
          </w:tcPr>
          <w:p>
            <w:pPr>
              <w:widowControl/>
              <w:jc w:val="center"/>
              <w:rPr>
                <w:rFonts w:ascii="宋体" w:hAnsi="宋体" w:cs="宋体"/>
                <w:color w:val="000000"/>
                <w:kern w:val="0"/>
                <w:szCs w:val="21"/>
              </w:rPr>
            </w:pPr>
          </w:p>
        </w:tc>
        <w:tc>
          <w:tcPr>
            <w:tcW w:w="2404" w:type="dxa"/>
            <w:gridSpan w:val="2"/>
            <w:tcBorders>
              <w:bottom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金额单位：万元</w:t>
            </w:r>
          </w:p>
        </w:tc>
      </w:tr>
      <w:tr>
        <w:tblPrEx>
          <w:tblLayout w:type="fixed"/>
          <w:tblCellMar>
            <w:top w:w="0" w:type="dxa"/>
            <w:left w:w="108" w:type="dxa"/>
            <w:bottom w:w="0" w:type="dxa"/>
            <w:right w:w="108" w:type="dxa"/>
          </w:tblCellMar>
        </w:tblPrEx>
        <w:trPr>
          <w:trHeight w:val="435" w:hRule="atLeast"/>
          <w:jc w:val="center"/>
        </w:trPr>
        <w:tc>
          <w:tcPr>
            <w:tcW w:w="631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221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数量</w:t>
            </w:r>
          </w:p>
        </w:tc>
        <w:tc>
          <w:tcPr>
            <w:tcW w:w="240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价值</w:t>
            </w:r>
          </w:p>
        </w:tc>
      </w:tr>
      <w:tr>
        <w:tblPrEx>
          <w:tblLayout w:type="fixed"/>
          <w:tblCellMar>
            <w:top w:w="0" w:type="dxa"/>
            <w:left w:w="108" w:type="dxa"/>
            <w:bottom w:w="0" w:type="dxa"/>
            <w:right w:w="108" w:type="dxa"/>
          </w:tblCellMar>
        </w:tblPrEx>
        <w:trPr>
          <w:trHeight w:val="405" w:hRule="atLeast"/>
          <w:jc w:val="center"/>
        </w:trPr>
        <w:tc>
          <w:tcPr>
            <w:tcW w:w="631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年初数</w:t>
            </w:r>
          </w:p>
        </w:tc>
        <w:tc>
          <w:tcPr>
            <w:tcW w:w="10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年末数</w:t>
            </w:r>
          </w:p>
        </w:tc>
        <w:tc>
          <w:tcPr>
            <w:tcW w:w="12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年初数</w:t>
            </w:r>
          </w:p>
        </w:tc>
        <w:tc>
          <w:tcPr>
            <w:tcW w:w="11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年末数</w:t>
            </w:r>
          </w:p>
        </w:tc>
      </w:tr>
      <w:tr>
        <w:tblPrEx>
          <w:tblLayout w:type="fixed"/>
          <w:tblCellMar>
            <w:top w:w="0" w:type="dxa"/>
            <w:left w:w="108" w:type="dxa"/>
            <w:bottom w:w="0" w:type="dxa"/>
            <w:right w:w="108" w:type="dxa"/>
          </w:tblCellMar>
        </w:tblPrEx>
        <w:trPr>
          <w:trHeight w:val="402" w:hRule="atLeast"/>
          <w:jc w:val="center"/>
        </w:trPr>
        <w:tc>
          <w:tcPr>
            <w:tcW w:w="63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一、资产合计</w:t>
            </w: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0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2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2981.29</w:t>
            </w:r>
          </w:p>
        </w:tc>
        <w:tc>
          <w:tcPr>
            <w:tcW w:w="11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3117.89</w:t>
            </w:r>
          </w:p>
        </w:tc>
      </w:tr>
      <w:tr>
        <w:tblPrEx>
          <w:tblLayout w:type="fixed"/>
        </w:tblPrEx>
        <w:trPr>
          <w:trHeight w:val="402" w:hRule="atLeast"/>
          <w:jc w:val="center"/>
        </w:trPr>
        <w:tc>
          <w:tcPr>
            <w:tcW w:w="63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   （一）流动资产</w:t>
            </w: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0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2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885.50</w:t>
            </w:r>
          </w:p>
        </w:tc>
        <w:tc>
          <w:tcPr>
            <w:tcW w:w="11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726.83</w:t>
            </w:r>
          </w:p>
        </w:tc>
      </w:tr>
      <w:tr>
        <w:tblPrEx>
          <w:tblLayout w:type="fixed"/>
          <w:tblCellMar>
            <w:top w:w="0" w:type="dxa"/>
            <w:left w:w="108" w:type="dxa"/>
            <w:bottom w:w="0" w:type="dxa"/>
            <w:right w:w="108" w:type="dxa"/>
          </w:tblCellMar>
        </w:tblPrEx>
        <w:trPr>
          <w:trHeight w:val="402" w:hRule="atLeast"/>
          <w:jc w:val="center"/>
        </w:trPr>
        <w:tc>
          <w:tcPr>
            <w:tcW w:w="63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   （二）固定资产</w:t>
            </w: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0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2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2095.79</w:t>
            </w:r>
          </w:p>
        </w:tc>
        <w:tc>
          <w:tcPr>
            <w:tcW w:w="11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2391.06</w:t>
            </w:r>
          </w:p>
        </w:tc>
      </w:tr>
      <w:tr>
        <w:tblPrEx>
          <w:tblLayout w:type="fixed"/>
          <w:tblCellMar>
            <w:top w:w="0" w:type="dxa"/>
            <w:left w:w="108" w:type="dxa"/>
            <w:bottom w:w="0" w:type="dxa"/>
            <w:right w:w="108" w:type="dxa"/>
          </w:tblCellMar>
        </w:tblPrEx>
        <w:trPr>
          <w:trHeight w:val="402" w:hRule="atLeast"/>
          <w:jc w:val="center"/>
        </w:trPr>
        <w:tc>
          <w:tcPr>
            <w:tcW w:w="63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          其中：1.房屋（平方米）</w:t>
            </w:r>
          </w:p>
        </w:tc>
        <w:tc>
          <w:tcPr>
            <w:tcW w:w="11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6292.39</w:t>
            </w:r>
          </w:p>
        </w:tc>
        <w:tc>
          <w:tcPr>
            <w:tcW w:w="10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6292.39</w:t>
            </w:r>
          </w:p>
        </w:tc>
        <w:tc>
          <w:tcPr>
            <w:tcW w:w="12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708.70</w:t>
            </w:r>
          </w:p>
        </w:tc>
        <w:tc>
          <w:tcPr>
            <w:tcW w:w="11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708.70</w:t>
            </w:r>
          </w:p>
        </w:tc>
      </w:tr>
      <w:tr>
        <w:tblPrEx>
          <w:tblLayout w:type="fixed"/>
          <w:tblCellMar>
            <w:top w:w="0" w:type="dxa"/>
            <w:left w:w="108" w:type="dxa"/>
            <w:bottom w:w="0" w:type="dxa"/>
            <w:right w:w="108" w:type="dxa"/>
          </w:tblCellMar>
        </w:tblPrEx>
        <w:trPr>
          <w:trHeight w:val="402" w:hRule="atLeast"/>
          <w:jc w:val="center"/>
        </w:trPr>
        <w:tc>
          <w:tcPr>
            <w:tcW w:w="63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                2.通用设备（台/套/辆</w:t>
            </w:r>
            <w:r>
              <w:rPr>
                <w:rFonts w:ascii="宋体" w:hAnsi="宋体" w:cs="宋体"/>
                <w:color w:val="000000"/>
                <w:kern w:val="0"/>
                <w:szCs w:val="21"/>
              </w:rPr>
              <w:t>）</w:t>
            </w:r>
          </w:p>
        </w:tc>
        <w:tc>
          <w:tcPr>
            <w:tcW w:w="119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w:t>
            </w:r>
          </w:p>
        </w:tc>
        <w:tc>
          <w:tcPr>
            <w:tcW w:w="102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w:t>
            </w:r>
          </w:p>
        </w:tc>
        <w:tc>
          <w:tcPr>
            <w:tcW w:w="124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231.35</w:t>
            </w:r>
          </w:p>
        </w:tc>
        <w:tc>
          <w:tcPr>
            <w:tcW w:w="116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231.35</w:t>
            </w:r>
          </w:p>
        </w:tc>
      </w:tr>
      <w:tr>
        <w:tblPrEx>
          <w:tblLayout w:type="fixed"/>
          <w:tblCellMar>
            <w:top w:w="0" w:type="dxa"/>
            <w:left w:w="108" w:type="dxa"/>
            <w:bottom w:w="0" w:type="dxa"/>
            <w:right w:w="108" w:type="dxa"/>
          </w:tblCellMar>
        </w:tblPrEx>
        <w:trPr>
          <w:trHeight w:val="402" w:hRule="atLeast"/>
          <w:jc w:val="center"/>
        </w:trPr>
        <w:tc>
          <w:tcPr>
            <w:tcW w:w="63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                   （1）车辆</w:t>
            </w:r>
          </w:p>
        </w:tc>
        <w:tc>
          <w:tcPr>
            <w:tcW w:w="11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p>
        </w:tc>
        <w:tc>
          <w:tcPr>
            <w:tcW w:w="10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p>
        </w:tc>
        <w:tc>
          <w:tcPr>
            <w:tcW w:w="12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p>
        </w:tc>
        <w:tc>
          <w:tcPr>
            <w:tcW w:w="11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02" w:hRule="atLeast"/>
          <w:jc w:val="center"/>
        </w:trPr>
        <w:tc>
          <w:tcPr>
            <w:tcW w:w="63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                          一般公务用车</w:t>
            </w:r>
          </w:p>
        </w:tc>
        <w:tc>
          <w:tcPr>
            <w:tcW w:w="11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p>
        </w:tc>
        <w:tc>
          <w:tcPr>
            <w:tcW w:w="10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p>
        </w:tc>
        <w:tc>
          <w:tcPr>
            <w:tcW w:w="12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p>
        </w:tc>
        <w:tc>
          <w:tcPr>
            <w:tcW w:w="11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02" w:hRule="atLeast"/>
          <w:jc w:val="center"/>
        </w:trPr>
        <w:tc>
          <w:tcPr>
            <w:tcW w:w="63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                          执法执勤用车</w:t>
            </w:r>
          </w:p>
        </w:tc>
        <w:tc>
          <w:tcPr>
            <w:tcW w:w="11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0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2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bookmarkStart w:id="0" w:name="_GoBack"/>
            <w:bookmarkEnd w:id="0"/>
          </w:p>
        </w:tc>
        <w:tc>
          <w:tcPr>
            <w:tcW w:w="11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402" w:hRule="atLeast"/>
          <w:jc w:val="center"/>
        </w:trPr>
        <w:tc>
          <w:tcPr>
            <w:tcW w:w="63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                          特种专业技术用车</w:t>
            </w:r>
          </w:p>
        </w:tc>
        <w:tc>
          <w:tcPr>
            <w:tcW w:w="11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0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2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1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402" w:hRule="atLeast"/>
          <w:jc w:val="center"/>
        </w:trPr>
        <w:tc>
          <w:tcPr>
            <w:tcW w:w="63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                          其他用车</w:t>
            </w:r>
          </w:p>
        </w:tc>
        <w:tc>
          <w:tcPr>
            <w:tcW w:w="11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0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2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1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402" w:hRule="atLeast"/>
          <w:jc w:val="center"/>
        </w:trPr>
        <w:tc>
          <w:tcPr>
            <w:tcW w:w="63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                   （2）单价50万元以上通用设备（不含车辆）</w:t>
            </w:r>
          </w:p>
        </w:tc>
        <w:tc>
          <w:tcPr>
            <w:tcW w:w="11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3</w:t>
            </w:r>
          </w:p>
        </w:tc>
        <w:tc>
          <w:tcPr>
            <w:tcW w:w="10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3</w:t>
            </w:r>
          </w:p>
        </w:tc>
        <w:tc>
          <w:tcPr>
            <w:tcW w:w="12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231.35</w:t>
            </w:r>
          </w:p>
        </w:tc>
        <w:tc>
          <w:tcPr>
            <w:tcW w:w="11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231.35</w:t>
            </w:r>
          </w:p>
        </w:tc>
      </w:tr>
      <w:tr>
        <w:tblPrEx>
          <w:tblLayout w:type="fixed"/>
          <w:tblCellMar>
            <w:top w:w="0" w:type="dxa"/>
            <w:left w:w="108" w:type="dxa"/>
            <w:bottom w:w="0" w:type="dxa"/>
            <w:right w:w="108" w:type="dxa"/>
          </w:tblCellMar>
        </w:tblPrEx>
        <w:trPr>
          <w:trHeight w:val="402" w:hRule="atLeast"/>
          <w:jc w:val="center"/>
        </w:trPr>
        <w:tc>
          <w:tcPr>
            <w:tcW w:w="63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               3.专用设备（台/套</w:t>
            </w:r>
            <w:r>
              <w:rPr>
                <w:rFonts w:ascii="宋体" w:hAnsi="宋体" w:cs="宋体"/>
                <w:color w:val="000000"/>
                <w:kern w:val="0"/>
                <w:szCs w:val="21"/>
              </w:rPr>
              <w:t>）</w:t>
            </w:r>
          </w:p>
        </w:tc>
        <w:tc>
          <w:tcPr>
            <w:tcW w:w="11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1</w:t>
            </w:r>
          </w:p>
        </w:tc>
        <w:tc>
          <w:tcPr>
            <w:tcW w:w="10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2</w:t>
            </w:r>
          </w:p>
        </w:tc>
        <w:tc>
          <w:tcPr>
            <w:tcW w:w="12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179.60</w:t>
            </w:r>
          </w:p>
        </w:tc>
        <w:tc>
          <w:tcPr>
            <w:tcW w:w="11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339.40</w:t>
            </w:r>
          </w:p>
        </w:tc>
      </w:tr>
      <w:tr>
        <w:tblPrEx>
          <w:tblLayout w:type="fixed"/>
          <w:tblCellMar>
            <w:top w:w="0" w:type="dxa"/>
            <w:left w:w="108" w:type="dxa"/>
            <w:bottom w:w="0" w:type="dxa"/>
            <w:right w:w="108" w:type="dxa"/>
          </w:tblCellMar>
        </w:tblPrEx>
        <w:trPr>
          <w:trHeight w:val="402" w:hRule="atLeast"/>
          <w:jc w:val="center"/>
        </w:trPr>
        <w:tc>
          <w:tcPr>
            <w:tcW w:w="63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                    单价100万元以上专用设备</w:t>
            </w:r>
          </w:p>
        </w:tc>
        <w:tc>
          <w:tcPr>
            <w:tcW w:w="11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1</w:t>
            </w:r>
          </w:p>
        </w:tc>
        <w:tc>
          <w:tcPr>
            <w:tcW w:w="10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2</w:t>
            </w:r>
          </w:p>
        </w:tc>
        <w:tc>
          <w:tcPr>
            <w:tcW w:w="12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179.60</w:t>
            </w:r>
          </w:p>
        </w:tc>
        <w:tc>
          <w:tcPr>
            <w:tcW w:w="1161" w:type="dxa"/>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ascii="宋体" w:hAnsi="宋体" w:cs="宋体"/>
                <w:color w:val="000000"/>
                <w:kern w:val="0"/>
                <w:szCs w:val="21"/>
              </w:rPr>
            </w:pPr>
            <w:r>
              <w:rPr>
                <w:rFonts w:hint="eastAsia" w:ascii="宋体" w:hAnsi="宋体" w:cs="宋体"/>
                <w:color w:val="000000"/>
                <w:kern w:val="0"/>
                <w:szCs w:val="21"/>
              </w:rPr>
              <w:t>339.40</w:t>
            </w:r>
          </w:p>
        </w:tc>
      </w:tr>
      <w:tr>
        <w:tblPrEx>
          <w:tblLayout w:type="fixed"/>
          <w:tblCellMar>
            <w:top w:w="0" w:type="dxa"/>
            <w:left w:w="108" w:type="dxa"/>
            <w:bottom w:w="0" w:type="dxa"/>
            <w:right w:w="108" w:type="dxa"/>
          </w:tblCellMar>
        </w:tblPrEx>
        <w:trPr>
          <w:trHeight w:val="402" w:hRule="atLeast"/>
          <w:jc w:val="center"/>
        </w:trPr>
        <w:tc>
          <w:tcPr>
            <w:tcW w:w="63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               4.其他固定资产</w:t>
            </w: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0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243" w:type="dxa"/>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ascii="宋体" w:hAnsi="宋体" w:cs="宋体"/>
                <w:color w:val="000000"/>
                <w:kern w:val="0"/>
                <w:szCs w:val="21"/>
              </w:rPr>
            </w:pPr>
            <w:r>
              <w:rPr>
                <w:rFonts w:hint="eastAsia" w:ascii="宋体" w:hAnsi="宋体" w:cs="宋体"/>
                <w:color w:val="000000"/>
                <w:kern w:val="0"/>
                <w:szCs w:val="21"/>
              </w:rPr>
              <w:t>976.14</w:t>
            </w:r>
          </w:p>
        </w:tc>
        <w:tc>
          <w:tcPr>
            <w:tcW w:w="11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1111.61</w:t>
            </w:r>
          </w:p>
        </w:tc>
      </w:tr>
      <w:tr>
        <w:tblPrEx>
          <w:tblLayout w:type="fixed"/>
          <w:tblCellMar>
            <w:top w:w="0" w:type="dxa"/>
            <w:left w:w="108" w:type="dxa"/>
            <w:bottom w:w="0" w:type="dxa"/>
            <w:right w:w="108" w:type="dxa"/>
          </w:tblCellMar>
        </w:tblPrEx>
        <w:trPr>
          <w:trHeight w:val="402" w:hRule="atLeast"/>
          <w:jc w:val="center"/>
        </w:trPr>
        <w:tc>
          <w:tcPr>
            <w:tcW w:w="63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        减：累计折旧及减值准备</w:t>
            </w: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0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2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1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402" w:hRule="atLeast"/>
          <w:jc w:val="center"/>
        </w:trPr>
        <w:tc>
          <w:tcPr>
            <w:tcW w:w="63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   （三）长期投资</w:t>
            </w: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0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2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1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402" w:hRule="atLeast"/>
          <w:jc w:val="center"/>
        </w:trPr>
        <w:tc>
          <w:tcPr>
            <w:tcW w:w="63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   （四）在建工程</w:t>
            </w: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0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2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11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402" w:hRule="atLeast"/>
          <w:jc w:val="center"/>
        </w:trPr>
        <w:tc>
          <w:tcPr>
            <w:tcW w:w="63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   （五）无形资产</w:t>
            </w: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0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2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1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402" w:hRule="atLeast"/>
          <w:jc w:val="center"/>
        </w:trPr>
        <w:tc>
          <w:tcPr>
            <w:tcW w:w="63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        减：累计摊销</w:t>
            </w: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0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2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1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402" w:hRule="atLeast"/>
          <w:jc w:val="center"/>
        </w:trPr>
        <w:tc>
          <w:tcPr>
            <w:tcW w:w="63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   （六）其他资产</w:t>
            </w: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0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2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1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402" w:hRule="atLeast"/>
          <w:jc w:val="center"/>
        </w:trPr>
        <w:tc>
          <w:tcPr>
            <w:tcW w:w="63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二、负债合计</w:t>
            </w: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0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2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rPr>
            </w:pPr>
            <w:r>
              <w:rPr>
                <w:rFonts w:hint="eastAsia" w:ascii="宋体" w:hAnsi="宋体" w:cs="宋体"/>
                <w:color w:val="auto"/>
                <w:kern w:val="0"/>
                <w:szCs w:val="21"/>
              </w:rPr>
              <w:t>　</w:t>
            </w:r>
            <w:r>
              <w:rPr>
                <w:rFonts w:hint="eastAsia" w:ascii="宋体" w:hAnsi="宋体" w:cs="宋体"/>
                <w:color w:val="auto"/>
                <w:kern w:val="0"/>
                <w:szCs w:val="21"/>
                <w:lang w:val="en-US" w:eastAsia="zh-CN"/>
              </w:rPr>
              <w:t>455.41</w:t>
            </w:r>
          </w:p>
        </w:tc>
        <w:tc>
          <w:tcPr>
            <w:tcW w:w="11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rPr>
            </w:pPr>
            <w:r>
              <w:rPr>
                <w:rFonts w:hint="eastAsia" w:ascii="宋体" w:hAnsi="宋体" w:cs="宋体"/>
                <w:color w:val="auto"/>
                <w:kern w:val="0"/>
                <w:szCs w:val="21"/>
              </w:rPr>
              <w:t>　</w:t>
            </w:r>
            <w:r>
              <w:rPr>
                <w:rFonts w:hint="eastAsia" w:ascii="宋体" w:hAnsi="宋体" w:cs="宋体"/>
                <w:color w:val="auto"/>
                <w:kern w:val="0"/>
                <w:szCs w:val="21"/>
                <w:lang w:val="en-US" w:eastAsia="zh-CN"/>
              </w:rPr>
              <w:t>283.46</w:t>
            </w:r>
          </w:p>
        </w:tc>
      </w:tr>
      <w:tr>
        <w:tblPrEx>
          <w:tblLayout w:type="fixed"/>
          <w:tblCellMar>
            <w:top w:w="0" w:type="dxa"/>
            <w:left w:w="108" w:type="dxa"/>
            <w:bottom w:w="0" w:type="dxa"/>
            <w:right w:w="108" w:type="dxa"/>
          </w:tblCellMar>
        </w:tblPrEx>
        <w:trPr>
          <w:trHeight w:val="402" w:hRule="atLeast"/>
          <w:jc w:val="center"/>
        </w:trPr>
        <w:tc>
          <w:tcPr>
            <w:tcW w:w="63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三、净资产合计</w:t>
            </w:r>
          </w:p>
        </w:tc>
        <w:tc>
          <w:tcPr>
            <w:tcW w:w="11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0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2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rPr>
            </w:pPr>
            <w:r>
              <w:rPr>
                <w:rFonts w:hint="eastAsia" w:ascii="宋体" w:hAnsi="宋体" w:cs="宋体"/>
                <w:color w:val="auto"/>
                <w:kern w:val="0"/>
                <w:szCs w:val="21"/>
              </w:rPr>
              <w:t>　</w:t>
            </w:r>
            <w:r>
              <w:rPr>
                <w:rFonts w:hint="eastAsia" w:ascii="宋体" w:hAnsi="宋体" w:cs="宋体"/>
                <w:color w:val="auto"/>
                <w:kern w:val="0"/>
                <w:szCs w:val="21"/>
                <w:lang w:val="en-US" w:eastAsia="zh-CN"/>
              </w:rPr>
              <w:t>2525.88</w:t>
            </w:r>
          </w:p>
        </w:tc>
        <w:tc>
          <w:tcPr>
            <w:tcW w:w="116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rPr>
            </w:pPr>
            <w:r>
              <w:rPr>
                <w:rFonts w:hint="eastAsia" w:ascii="宋体" w:hAnsi="宋体" w:cs="宋体"/>
                <w:color w:val="auto"/>
                <w:kern w:val="0"/>
                <w:szCs w:val="21"/>
              </w:rPr>
              <w:t>　</w:t>
            </w:r>
            <w:r>
              <w:rPr>
                <w:rFonts w:hint="eastAsia" w:ascii="宋体" w:hAnsi="宋体" w:cs="宋体"/>
                <w:color w:val="auto"/>
                <w:kern w:val="0"/>
                <w:szCs w:val="21"/>
                <w:lang w:val="en-US" w:eastAsia="zh-CN"/>
              </w:rPr>
              <w:t>2834.43</w:t>
            </w:r>
          </w:p>
        </w:tc>
      </w:tr>
    </w:tbl>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ascii="宋体" w:hAnsi="宋体"/>
          <w:szCs w:val="21"/>
        </w:rPr>
        <w:br w:type="page"/>
      </w:r>
      <w:r>
        <w:rPr>
          <w:rFonts w:hint="eastAsia" w:ascii="黑体" w:eastAsia="黑体"/>
          <w:sz w:val="30"/>
          <w:szCs w:val="30"/>
        </w:rPr>
        <w:t>第三部分  上海市松江区石湖荡镇社区卫生服务中心2018年度部门决算情况说明</w:t>
      </w:r>
    </w:p>
    <w:p>
      <w:pPr>
        <w:jc w:val="center"/>
        <w:rPr>
          <w:rFonts w:ascii="黑体" w:eastAsia="黑体"/>
          <w:sz w:val="30"/>
          <w:szCs w:val="30"/>
        </w:rPr>
      </w:pPr>
    </w:p>
    <w:p>
      <w:pPr>
        <w:ind w:firstLine="602" w:firstLineChars="200"/>
        <w:outlineLvl w:val="0"/>
        <w:rPr>
          <w:rFonts w:ascii="楷体_GB2312" w:eastAsia="楷体_GB2312"/>
          <w:b/>
          <w:sz w:val="30"/>
          <w:szCs w:val="30"/>
        </w:rPr>
      </w:pPr>
      <w:r>
        <w:rPr>
          <w:rFonts w:hint="eastAsia" w:ascii="楷体_GB2312" w:eastAsia="楷体_GB2312"/>
          <w:b/>
          <w:sz w:val="30"/>
          <w:szCs w:val="30"/>
        </w:rPr>
        <w:t>一、关于</w:t>
      </w:r>
      <w:r>
        <w:rPr>
          <w:rFonts w:hint="eastAsia" w:ascii="楷体_GB2312" w:hAnsi="宋体" w:eastAsia="楷体_GB2312"/>
          <w:b/>
          <w:sz w:val="30"/>
          <w:szCs w:val="30"/>
        </w:rPr>
        <w:t>上海市松江区石湖荡镇社区卫生服务中心</w:t>
      </w:r>
      <w:r>
        <w:rPr>
          <w:rFonts w:hint="eastAsia" w:ascii="楷体_GB2312" w:eastAsia="楷体_GB2312"/>
          <w:b/>
          <w:sz w:val="30"/>
          <w:szCs w:val="30"/>
        </w:rPr>
        <w:t>2018年度收入支出决算总体情况说明</w:t>
      </w:r>
    </w:p>
    <w:p>
      <w:pPr>
        <w:ind w:firstLine="600" w:firstLineChars="200"/>
        <w:rPr>
          <w:rFonts w:ascii="仿宋_GB2312" w:eastAsia="仿宋_GB2312"/>
          <w:sz w:val="30"/>
          <w:szCs w:val="30"/>
        </w:rPr>
      </w:pPr>
      <w:r>
        <w:rPr>
          <w:rFonts w:hint="eastAsia" w:ascii="仿宋_GB2312" w:hAnsi="宋体" w:eastAsia="仿宋_GB2312"/>
          <w:sz w:val="30"/>
          <w:szCs w:val="30"/>
        </w:rPr>
        <w:t>上海市松江区石湖荡镇社区卫生服务中心</w:t>
      </w:r>
      <w:r>
        <w:rPr>
          <w:rFonts w:hint="eastAsia" w:ascii="仿宋_GB2312" w:eastAsia="仿宋_GB2312"/>
          <w:sz w:val="30"/>
          <w:szCs w:val="30"/>
        </w:rPr>
        <w:t>2018年度收入总计为5895.43万元</w:t>
      </w:r>
      <w:r>
        <w:rPr>
          <w:rFonts w:hint="eastAsia" w:ascii="仿宋_GB2312" w:eastAsia="仿宋_GB2312"/>
          <w:color w:val="auto"/>
          <w:sz w:val="30"/>
          <w:szCs w:val="30"/>
        </w:rPr>
        <w:t>、支出总计为5895.43万元。与</w:t>
      </w:r>
      <w:r>
        <w:rPr>
          <w:rFonts w:hint="eastAsia" w:ascii="仿宋_GB2312" w:eastAsia="仿宋_GB2312"/>
          <w:sz w:val="30"/>
          <w:szCs w:val="30"/>
        </w:rPr>
        <w:t>2017年度相比，收入总计增加397.92万，主要原因：财政拨款收入增加139.55万元，事业收入增加258.37万元；支出总计增加412.98万元，主要原因：人员支出增加485.22万元。</w:t>
      </w:r>
    </w:p>
    <w:p>
      <w:pPr>
        <w:ind w:firstLine="602" w:firstLineChars="200"/>
        <w:outlineLvl w:val="0"/>
        <w:rPr>
          <w:rFonts w:ascii="楷体_GB2312" w:eastAsia="楷体_GB2312"/>
          <w:b/>
          <w:sz w:val="30"/>
          <w:szCs w:val="30"/>
        </w:rPr>
      </w:pPr>
      <w:r>
        <w:rPr>
          <w:rFonts w:hint="eastAsia" w:ascii="楷体_GB2312" w:eastAsia="楷体_GB2312"/>
          <w:b/>
          <w:sz w:val="30"/>
          <w:szCs w:val="30"/>
        </w:rPr>
        <w:t>二、关于</w:t>
      </w:r>
      <w:r>
        <w:rPr>
          <w:rFonts w:hint="eastAsia" w:ascii="楷体_GB2312" w:hAnsi="宋体" w:eastAsia="楷体_GB2312"/>
          <w:b/>
          <w:sz w:val="30"/>
          <w:szCs w:val="30"/>
        </w:rPr>
        <w:t>上海市松江区石湖荡镇社区卫生服务中心</w:t>
      </w:r>
      <w:r>
        <w:rPr>
          <w:rFonts w:hint="eastAsia" w:ascii="楷体_GB2312" w:eastAsia="楷体_GB2312"/>
          <w:b/>
          <w:sz w:val="30"/>
          <w:szCs w:val="30"/>
        </w:rPr>
        <w:t>2018年度收入决算情况说明</w:t>
      </w:r>
    </w:p>
    <w:p>
      <w:pPr>
        <w:ind w:firstLine="600" w:firstLineChars="200"/>
        <w:rPr>
          <w:rFonts w:ascii="仿宋_GB2312" w:eastAsia="仿宋_GB2312"/>
          <w:sz w:val="30"/>
          <w:szCs w:val="30"/>
        </w:rPr>
      </w:pPr>
      <w:r>
        <w:rPr>
          <w:rFonts w:hint="eastAsia" w:ascii="仿宋_GB2312" w:hAnsi="宋体" w:eastAsia="仿宋_GB2312"/>
          <w:sz w:val="30"/>
          <w:szCs w:val="30"/>
        </w:rPr>
        <w:t>本年</w:t>
      </w:r>
      <w:r>
        <w:rPr>
          <w:rFonts w:hint="eastAsia" w:ascii="仿宋_GB2312" w:eastAsia="仿宋_GB2312"/>
          <w:sz w:val="30"/>
          <w:szCs w:val="30"/>
        </w:rPr>
        <w:t>收入合计5895.43万元，其中：财政拨款收入3396.86万元，占57.62%；事业收入2175.25万元，占36.90%。</w:t>
      </w:r>
    </w:p>
    <w:p>
      <w:pPr>
        <w:ind w:firstLine="602" w:firstLineChars="200"/>
        <w:outlineLvl w:val="0"/>
        <w:rPr>
          <w:rFonts w:ascii="楷体_GB2312" w:eastAsia="楷体_GB2312"/>
          <w:b/>
          <w:sz w:val="30"/>
          <w:szCs w:val="30"/>
        </w:rPr>
      </w:pPr>
      <w:r>
        <w:rPr>
          <w:rFonts w:hint="eastAsia" w:ascii="楷体_GB2312" w:eastAsia="楷体_GB2312"/>
          <w:b/>
          <w:sz w:val="30"/>
          <w:szCs w:val="30"/>
        </w:rPr>
        <w:t>三、关于</w:t>
      </w:r>
      <w:r>
        <w:rPr>
          <w:rFonts w:hint="eastAsia" w:ascii="楷体_GB2312" w:hAnsi="宋体" w:eastAsia="楷体_GB2312"/>
          <w:b/>
          <w:sz w:val="30"/>
          <w:szCs w:val="30"/>
        </w:rPr>
        <w:t>上海市松江区石湖荡镇社区卫生服务中心</w:t>
      </w:r>
      <w:r>
        <w:rPr>
          <w:rFonts w:hint="eastAsia" w:ascii="楷体_GB2312" w:eastAsia="楷体_GB2312"/>
          <w:b/>
          <w:sz w:val="30"/>
          <w:szCs w:val="30"/>
        </w:rPr>
        <w:t>2018年度支出决算情况说明</w:t>
      </w:r>
    </w:p>
    <w:p>
      <w:pPr>
        <w:ind w:firstLine="600" w:firstLineChars="200"/>
        <w:rPr>
          <w:rFonts w:ascii="仿宋_GB2312" w:eastAsia="仿宋_GB2312"/>
          <w:sz w:val="30"/>
          <w:szCs w:val="30"/>
        </w:rPr>
      </w:pPr>
      <w:r>
        <w:rPr>
          <w:rFonts w:hint="eastAsia" w:ascii="仿宋_GB2312" w:hAnsi="宋体" w:eastAsia="仿宋_GB2312"/>
          <w:sz w:val="30"/>
          <w:szCs w:val="30"/>
        </w:rPr>
        <w:t>本年</w:t>
      </w:r>
      <w:r>
        <w:rPr>
          <w:rFonts w:hint="eastAsia" w:ascii="仿宋_GB2312" w:eastAsia="仿宋_GB2312"/>
          <w:sz w:val="30"/>
          <w:szCs w:val="30"/>
        </w:rPr>
        <w:t>支出合计5882.15万元，其中：基本支出5448.48万元，占92.63%；项目支出433.67万元，占7.37%。</w:t>
      </w:r>
    </w:p>
    <w:p>
      <w:pPr>
        <w:ind w:firstLine="602" w:firstLineChars="200"/>
        <w:outlineLvl w:val="0"/>
        <w:rPr>
          <w:rFonts w:ascii="楷体_GB2312" w:eastAsia="楷体_GB2312"/>
          <w:b/>
          <w:sz w:val="30"/>
          <w:szCs w:val="30"/>
        </w:rPr>
      </w:pPr>
      <w:r>
        <w:rPr>
          <w:rFonts w:hint="eastAsia" w:ascii="楷体_GB2312" w:eastAsia="楷体_GB2312"/>
          <w:b/>
          <w:sz w:val="30"/>
          <w:szCs w:val="30"/>
        </w:rPr>
        <w:t>四、关于</w:t>
      </w:r>
      <w:r>
        <w:rPr>
          <w:rFonts w:hint="eastAsia" w:ascii="楷体_GB2312" w:hAnsi="宋体" w:eastAsia="楷体_GB2312"/>
          <w:b/>
          <w:sz w:val="30"/>
          <w:szCs w:val="30"/>
        </w:rPr>
        <w:t>上海市松江区石湖荡镇社区卫生服务中心</w:t>
      </w:r>
      <w:r>
        <w:rPr>
          <w:rFonts w:hint="eastAsia" w:ascii="楷体_GB2312" w:eastAsia="楷体_GB2312"/>
          <w:b/>
          <w:sz w:val="30"/>
          <w:szCs w:val="30"/>
        </w:rPr>
        <w:t>2018年度财政拨款收入支出总体情况说明</w:t>
      </w:r>
    </w:p>
    <w:p>
      <w:pPr>
        <w:ind w:firstLine="600" w:firstLineChars="200"/>
        <w:rPr>
          <w:rFonts w:ascii="仿宋_GB2312" w:eastAsia="仿宋_GB2312"/>
          <w:sz w:val="30"/>
          <w:szCs w:val="30"/>
        </w:rPr>
      </w:pPr>
      <w:r>
        <w:rPr>
          <w:rFonts w:hint="eastAsia" w:ascii="仿宋_GB2312" w:hAnsi="宋体" w:eastAsia="仿宋_GB2312"/>
          <w:sz w:val="30"/>
          <w:szCs w:val="30"/>
        </w:rPr>
        <w:t>上海市松江区石湖荡镇社区卫生服务中心</w:t>
      </w:r>
      <w:r>
        <w:rPr>
          <w:rFonts w:hint="eastAsia" w:ascii="仿宋_GB2312" w:eastAsia="仿宋_GB2312"/>
          <w:sz w:val="30"/>
          <w:szCs w:val="30"/>
        </w:rPr>
        <w:t>2018年度财政拨款收支总决算3396.86万元。与2017年度相比，财政拨款收入支出总计增加139.55万元，增长4.28%。主要原因：人员经费增加。</w:t>
      </w:r>
    </w:p>
    <w:p>
      <w:pPr>
        <w:ind w:firstLine="602" w:firstLineChars="200"/>
        <w:outlineLvl w:val="0"/>
        <w:rPr>
          <w:rFonts w:ascii="楷体_GB2312" w:eastAsia="楷体_GB2312"/>
          <w:b/>
          <w:sz w:val="30"/>
          <w:szCs w:val="30"/>
        </w:rPr>
      </w:pPr>
      <w:r>
        <w:rPr>
          <w:rFonts w:hint="eastAsia" w:ascii="楷体_GB2312" w:eastAsia="楷体_GB2312"/>
          <w:b/>
          <w:sz w:val="30"/>
          <w:szCs w:val="30"/>
        </w:rPr>
        <w:t>五、关于</w:t>
      </w:r>
      <w:r>
        <w:rPr>
          <w:rFonts w:hint="eastAsia" w:ascii="楷体_GB2312" w:hAnsi="宋体" w:eastAsia="楷体_GB2312"/>
          <w:b/>
          <w:sz w:val="30"/>
          <w:szCs w:val="30"/>
        </w:rPr>
        <w:t>上海市松江区石湖荡镇社区卫生服务中心</w:t>
      </w:r>
      <w:r>
        <w:rPr>
          <w:rFonts w:hint="eastAsia" w:ascii="楷体_GB2312" w:eastAsia="楷体_GB2312"/>
          <w:b/>
          <w:sz w:val="30"/>
          <w:szCs w:val="30"/>
        </w:rPr>
        <w:t>2018年度一般公共预算财政拨款支出决算情况说明</w:t>
      </w:r>
    </w:p>
    <w:p>
      <w:pPr>
        <w:ind w:firstLine="602" w:firstLineChars="200"/>
        <w:outlineLvl w:val="0"/>
        <w:rPr>
          <w:rFonts w:ascii="楷体_GB2312" w:hAnsi="宋体" w:eastAsia="楷体_GB2312"/>
          <w:b/>
          <w:sz w:val="30"/>
          <w:szCs w:val="30"/>
        </w:rPr>
      </w:pPr>
      <w:r>
        <w:rPr>
          <w:rFonts w:hint="eastAsia" w:ascii="楷体_GB2312" w:hAnsi="宋体" w:eastAsia="楷体_GB2312"/>
          <w:b/>
          <w:sz w:val="30"/>
          <w:szCs w:val="30"/>
        </w:rPr>
        <w:t>（一）一般公共预算财政拨款支出决算总体情况</w:t>
      </w:r>
    </w:p>
    <w:p>
      <w:pPr>
        <w:ind w:firstLine="600" w:firstLineChars="200"/>
        <w:rPr>
          <w:rFonts w:ascii="仿宋_GB2312" w:eastAsia="仿宋_GB2312"/>
          <w:sz w:val="30"/>
          <w:szCs w:val="30"/>
        </w:rPr>
      </w:pPr>
      <w:r>
        <w:rPr>
          <w:rFonts w:hint="eastAsia" w:ascii="仿宋_GB2312" w:hAnsi="宋体" w:eastAsia="仿宋_GB2312"/>
          <w:sz w:val="30"/>
          <w:szCs w:val="30"/>
        </w:rPr>
        <w:t>上海市松江区石湖荡镇社区卫生服务中心</w:t>
      </w:r>
      <w:r>
        <w:rPr>
          <w:rFonts w:hint="eastAsia" w:ascii="仿宋_GB2312" w:eastAsia="仿宋_GB2312"/>
          <w:sz w:val="30"/>
          <w:szCs w:val="30"/>
        </w:rPr>
        <w:t>2018年度一般公共预算财政拨款支出3396.86万元，占本年支出合计的57.75%。与2017年度相比，一般公共预算财政拨款支出增加139.55万元，增长4.28%。主要原因：人员经费增加。</w:t>
      </w:r>
    </w:p>
    <w:p>
      <w:pPr>
        <w:ind w:firstLine="602" w:firstLineChars="200"/>
        <w:outlineLvl w:val="0"/>
        <w:rPr>
          <w:rFonts w:ascii="楷体_GB2312" w:hAnsi="宋体" w:eastAsia="楷体_GB2312"/>
          <w:b/>
          <w:sz w:val="30"/>
          <w:szCs w:val="30"/>
        </w:rPr>
      </w:pPr>
      <w:r>
        <w:rPr>
          <w:rFonts w:hint="eastAsia" w:ascii="楷体_GB2312" w:hAnsi="宋体" w:eastAsia="楷体_GB2312"/>
          <w:b/>
          <w:sz w:val="30"/>
          <w:szCs w:val="30"/>
        </w:rPr>
        <w:t>（二）一般公共预算财政拨款支出决算结构情况</w:t>
      </w:r>
    </w:p>
    <w:p>
      <w:pPr>
        <w:ind w:firstLine="600" w:firstLineChars="200"/>
        <w:rPr>
          <w:rFonts w:ascii="仿宋_GB2312" w:eastAsia="仿宋_GB2312"/>
          <w:sz w:val="30"/>
          <w:szCs w:val="30"/>
        </w:rPr>
      </w:pPr>
      <w:r>
        <w:rPr>
          <w:rFonts w:hint="eastAsia" w:ascii="仿宋_GB2312" w:hAnsi="宋体" w:eastAsia="仿宋_GB2312"/>
          <w:sz w:val="30"/>
          <w:szCs w:val="30"/>
        </w:rPr>
        <w:t>上海市松江区石湖荡镇社区卫生服务中心</w:t>
      </w:r>
      <w:r>
        <w:rPr>
          <w:rFonts w:hint="eastAsia" w:ascii="仿宋_GB2312" w:eastAsia="仿宋_GB2312"/>
          <w:sz w:val="30"/>
          <w:szCs w:val="30"/>
        </w:rPr>
        <w:t>2018年度一般公共预算财政拨款支出3396.86万元，主要用于以下方面：社会保障和就业支出（类）361.38万元，占10.64%；医疗卫生与计划生育支出（类）3029.27万元，占89.18%，住房保障支出1.89万元，占0.18%。</w:t>
      </w:r>
    </w:p>
    <w:p>
      <w:pPr>
        <w:ind w:firstLine="602" w:firstLineChars="200"/>
        <w:outlineLvl w:val="0"/>
        <w:rPr>
          <w:rFonts w:hint="eastAsia" w:ascii="楷体_GB2312" w:hAnsi="宋体" w:eastAsia="楷体_GB2312"/>
          <w:b/>
          <w:sz w:val="30"/>
          <w:szCs w:val="30"/>
        </w:rPr>
      </w:pPr>
      <w:r>
        <w:rPr>
          <w:rFonts w:hint="eastAsia" w:ascii="楷体_GB2312" w:hAnsi="宋体" w:eastAsia="楷体_GB2312"/>
          <w:b/>
          <w:sz w:val="30"/>
          <w:szCs w:val="30"/>
        </w:rPr>
        <w:t>（三）一般公共预算财政拨款支出决算具体情况</w:t>
      </w:r>
    </w:p>
    <w:p>
      <w:pPr>
        <w:ind w:firstLine="600" w:firstLineChars="200"/>
        <w:rPr>
          <w:rFonts w:hint="eastAsia" w:ascii="仿宋_GB2312" w:eastAsia="仿宋_GB2312"/>
          <w:sz w:val="30"/>
          <w:szCs w:val="30"/>
        </w:rPr>
      </w:pPr>
      <w:r>
        <w:rPr>
          <w:rFonts w:hint="eastAsia" w:ascii="仿宋_GB2312" w:hAnsi="宋体" w:eastAsia="仿宋_GB2312"/>
          <w:sz w:val="30"/>
          <w:szCs w:val="30"/>
        </w:rPr>
        <w:t>上海市松江区石湖荡镇社区卫生服务中心</w:t>
      </w:r>
      <w:r>
        <w:rPr>
          <w:rFonts w:hint="eastAsia" w:ascii="仿宋_GB2312" w:eastAsia="仿宋_GB2312"/>
          <w:sz w:val="30"/>
          <w:szCs w:val="30"/>
        </w:rPr>
        <w:t>2018年度一般公共预算财政拨款支出年初预算为3519.99万元，支出决算为3396.86万元，完成年初预算的96.5%。决算数小于预算数的主要原因：安排人员经费减少、缴纳职业年金缴费。其中：</w:t>
      </w:r>
    </w:p>
    <w:p>
      <w:pPr>
        <w:ind w:firstLine="600" w:firstLineChars="200"/>
        <w:rPr>
          <w:rFonts w:hint="eastAsia" w:ascii="仿宋_GB2312" w:eastAsia="仿宋_GB2312"/>
          <w:sz w:val="30"/>
          <w:szCs w:val="30"/>
        </w:rPr>
      </w:pPr>
      <w:r>
        <w:rPr>
          <w:rFonts w:hint="eastAsia" w:ascii="仿宋_GB2312" w:eastAsia="仿宋_GB2312"/>
          <w:sz w:val="30"/>
          <w:szCs w:val="30"/>
        </w:rPr>
        <w:t>1、教育支出（类）进修及培训（款）培训支出（项）。主要用于：按照国家政策规定为在职人员继续教育培训费的支出。年初预算为10万元，支出决算为4.32万元。决算数小于预算数的主要原因：继续教育费用减少。</w:t>
      </w:r>
    </w:p>
    <w:p>
      <w:pPr>
        <w:ind w:firstLine="600" w:firstLineChars="200"/>
        <w:rPr>
          <w:rFonts w:hint="eastAsia" w:ascii="仿宋_GB2312" w:eastAsia="仿宋_GB2312"/>
          <w:sz w:val="30"/>
          <w:szCs w:val="30"/>
        </w:rPr>
      </w:pPr>
      <w:r>
        <w:rPr>
          <w:rFonts w:hint="eastAsia" w:ascii="仿宋_GB2312" w:eastAsia="仿宋_GB2312"/>
          <w:sz w:val="30"/>
          <w:szCs w:val="30"/>
        </w:rPr>
        <w:t>2、社会保障和就业支出（类）行政事业单位离退休（款）事业单位离退休（项）。主要用于：单位退休人员福利费。年初预算为0.1万元，支出决算为0.1万元。决算数等于预算数.</w:t>
      </w:r>
    </w:p>
    <w:p>
      <w:pPr>
        <w:ind w:firstLine="600" w:firstLineChars="200"/>
        <w:rPr>
          <w:rFonts w:hint="eastAsia" w:ascii="仿宋_GB2312" w:eastAsia="仿宋_GB2312"/>
          <w:sz w:val="30"/>
          <w:szCs w:val="30"/>
        </w:rPr>
      </w:pPr>
      <w:r>
        <w:rPr>
          <w:rFonts w:hint="eastAsia" w:ascii="仿宋_GB2312" w:eastAsia="仿宋_GB2312"/>
          <w:sz w:val="30"/>
          <w:szCs w:val="30"/>
        </w:rPr>
        <w:t>3、社会保障和就业支出（类）机关事业单位基本养老保险经费支出（项）。主要用于：在职人员基本养老缴费支出。年初预算为270.04万元，支出决算为272.26万元。决算数大于预算数的主要原因：基本养老缴费增加。</w:t>
      </w:r>
    </w:p>
    <w:p>
      <w:pPr>
        <w:ind w:firstLine="600" w:firstLineChars="200"/>
        <w:rPr>
          <w:rFonts w:hint="eastAsia" w:ascii="仿宋_GB2312" w:eastAsia="仿宋_GB2312"/>
          <w:sz w:val="30"/>
          <w:szCs w:val="30"/>
        </w:rPr>
      </w:pPr>
      <w:r>
        <w:rPr>
          <w:rFonts w:hint="eastAsia" w:ascii="仿宋_GB2312" w:eastAsia="仿宋_GB2312"/>
          <w:sz w:val="30"/>
          <w:szCs w:val="30"/>
        </w:rPr>
        <w:t>4、社会保障和就业支出（类）机关事业单位职业年金缴费（项）。主要用于：在职人员职业年金缴费支出。年初预算为68.43万元，支出决算为89.02万元。决算数大于预算数的主要原因：职业年金缴费增加。</w:t>
      </w:r>
    </w:p>
    <w:p>
      <w:pPr>
        <w:ind w:firstLine="600" w:firstLineChars="200"/>
        <w:rPr>
          <w:rFonts w:hint="eastAsia" w:ascii="仿宋_GB2312" w:eastAsia="仿宋_GB2312"/>
          <w:sz w:val="30"/>
          <w:szCs w:val="30"/>
        </w:rPr>
      </w:pPr>
      <w:r>
        <w:rPr>
          <w:rFonts w:hint="eastAsia" w:ascii="仿宋_GB2312" w:eastAsia="仿宋_GB2312"/>
          <w:sz w:val="30"/>
          <w:szCs w:val="30"/>
        </w:rPr>
        <w:t>5、医疗卫生与计划生育（类）基层医疗卫生机构（款）城市社区卫生机构（项）。主要用于：按照国家政策规定为在职人员基本工资、津贴补贴、绩效工资、缴纳基本养老、工伤、生育保险费，编外人员工资福利，及公用经费、专用材料费、设备等日常维修、运行经费，医疗设备购置等。年初预算为2526.05万元，支出决算为2450.23万元。决算数小于预算数的主要原因：公用经费减少支出。</w:t>
      </w:r>
    </w:p>
    <w:p>
      <w:pPr>
        <w:ind w:firstLine="600" w:firstLineChars="200"/>
        <w:rPr>
          <w:rFonts w:hint="eastAsia" w:ascii="仿宋_GB2312" w:eastAsia="仿宋_GB2312"/>
          <w:sz w:val="30"/>
          <w:szCs w:val="30"/>
        </w:rPr>
      </w:pPr>
      <w:r>
        <w:rPr>
          <w:rFonts w:hint="eastAsia" w:ascii="仿宋_GB2312" w:eastAsia="仿宋_GB2312"/>
          <w:sz w:val="30"/>
          <w:szCs w:val="30"/>
        </w:rPr>
        <w:t>6、医疗卫生与计划生育（类）基层医疗卫生机构（款）其他基层医疗卫生机构（项）。主要用于：基层医疗机构与村卫生室基本药物相关经费。年初预算为4.09万元，支出决算为4.09万元。决算数等于预算数。</w:t>
      </w:r>
    </w:p>
    <w:p>
      <w:pPr>
        <w:ind w:firstLine="600" w:firstLineChars="200"/>
        <w:rPr>
          <w:rFonts w:hint="eastAsia" w:ascii="仿宋_GB2312" w:eastAsia="仿宋_GB2312"/>
          <w:sz w:val="30"/>
          <w:szCs w:val="30"/>
        </w:rPr>
      </w:pPr>
      <w:r>
        <w:rPr>
          <w:rFonts w:hint="eastAsia" w:ascii="仿宋_GB2312" w:eastAsia="仿宋_GB2312"/>
          <w:sz w:val="30"/>
          <w:szCs w:val="30"/>
        </w:rPr>
        <w:t>7、医疗卫生与计划生育（类）公共卫生（款）基本公共卫生服务（项）。主要用于：基本公共卫生服务人员经费、公用经费。年初预算为517.1万元，支出决算422.21万元。决算数小于预算数的主要原因：公用经费支出减少。</w:t>
      </w:r>
    </w:p>
    <w:p>
      <w:pPr>
        <w:ind w:firstLine="600" w:firstLineChars="200"/>
        <w:rPr>
          <w:rFonts w:hint="eastAsia" w:ascii="仿宋_GB2312" w:eastAsia="仿宋_GB2312"/>
          <w:sz w:val="30"/>
          <w:szCs w:val="30"/>
        </w:rPr>
      </w:pPr>
      <w:r>
        <w:rPr>
          <w:rFonts w:hint="eastAsia" w:ascii="仿宋_GB2312" w:eastAsia="仿宋_GB2312"/>
          <w:sz w:val="30"/>
          <w:szCs w:val="30"/>
        </w:rPr>
        <w:t>8、医疗卫生与计划生育（类）行政事业单位医疗（款）基本公共卫生服务事业单位医疗（项）。主要用于：事业单位人员医疗经费。年初预算为128.27万元，支出决算152.73万元。决算数大于预算数的主要原因：事业单位人员医疗经费支出增加。</w:t>
      </w:r>
    </w:p>
    <w:p>
      <w:pPr>
        <w:ind w:firstLine="600" w:firstLineChars="200"/>
        <w:rPr>
          <w:rFonts w:hint="eastAsia" w:ascii="仿宋_GB2312" w:eastAsia="仿宋_GB2312"/>
          <w:sz w:val="30"/>
          <w:szCs w:val="30"/>
        </w:rPr>
      </w:pPr>
      <w:r>
        <w:rPr>
          <w:rFonts w:hint="eastAsia" w:ascii="仿宋_GB2312" w:eastAsia="仿宋_GB2312"/>
          <w:sz w:val="30"/>
          <w:szCs w:val="30"/>
        </w:rPr>
        <w:t>9、住房保障（类）住房改革（款）住房公积金（项）。主要用于：缴纳住房公积金。年初预算为0万元，支出决算为1.89万元。决算数大于预算数的主要原因：住房公积金支出增加。</w:t>
      </w:r>
    </w:p>
    <w:p>
      <w:pPr>
        <w:ind w:firstLine="602" w:firstLineChars="200"/>
        <w:rPr>
          <w:rFonts w:ascii="楷体_GB2312" w:eastAsia="楷体_GB2312"/>
          <w:b/>
          <w:sz w:val="30"/>
          <w:szCs w:val="30"/>
        </w:rPr>
      </w:pPr>
      <w:r>
        <w:rPr>
          <w:rFonts w:hint="eastAsia" w:ascii="楷体_GB2312" w:eastAsia="楷体_GB2312"/>
          <w:b/>
          <w:sz w:val="30"/>
          <w:szCs w:val="30"/>
        </w:rPr>
        <w:t>六、关于</w:t>
      </w:r>
      <w:r>
        <w:rPr>
          <w:rFonts w:hint="eastAsia" w:ascii="楷体_GB2312" w:hAnsi="宋体" w:eastAsia="楷体_GB2312"/>
          <w:b/>
          <w:sz w:val="30"/>
          <w:szCs w:val="30"/>
        </w:rPr>
        <w:t>上海市松江区石湖荡镇社区卫生服务中心</w:t>
      </w:r>
      <w:r>
        <w:rPr>
          <w:rFonts w:hint="eastAsia" w:ascii="楷体_GB2312" w:eastAsia="楷体_GB2312"/>
          <w:b/>
          <w:sz w:val="30"/>
          <w:szCs w:val="30"/>
        </w:rPr>
        <w:t>2018年度一般公共预算财政拨款基本支出决算情况说明</w:t>
      </w:r>
    </w:p>
    <w:p>
      <w:pPr>
        <w:ind w:firstLine="600" w:firstLineChars="200"/>
        <w:rPr>
          <w:rFonts w:ascii="仿宋_GB2312" w:eastAsia="仿宋_GB2312"/>
          <w:sz w:val="30"/>
          <w:szCs w:val="30"/>
        </w:rPr>
      </w:pPr>
      <w:r>
        <w:rPr>
          <w:rFonts w:hint="eastAsia" w:ascii="仿宋_GB2312" w:hAnsi="宋体" w:eastAsia="仿宋_GB2312"/>
          <w:sz w:val="30"/>
          <w:szCs w:val="30"/>
        </w:rPr>
        <w:t>上海市松江区石湖荡镇社区卫生服务中心</w:t>
      </w:r>
      <w:r>
        <w:rPr>
          <w:rFonts w:hint="eastAsia" w:ascii="仿宋_GB2312" w:eastAsia="仿宋_GB2312"/>
          <w:sz w:val="30"/>
          <w:szCs w:val="30"/>
        </w:rPr>
        <w:t>2018年度一般公共预算财政拨款基本支出2963.19万元，包括人员经费2963.09万元，公用经费0.10万元。基本支出中：</w:t>
      </w:r>
    </w:p>
    <w:p>
      <w:pPr>
        <w:ind w:firstLine="600" w:firstLineChars="200"/>
        <w:rPr>
          <w:rFonts w:ascii="仿宋_GB2312" w:eastAsia="仿宋_GB2312"/>
          <w:sz w:val="30"/>
          <w:szCs w:val="30"/>
        </w:rPr>
      </w:pPr>
      <w:r>
        <w:rPr>
          <w:rFonts w:hint="eastAsia" w:ascii="仿宋_GB2312" w:eastAsia="仿宋_GB2312"/>
          <w:sz w:val="30"/>
          <w:szCs w:val="30"/>
        </w:rPr>
        <w:t>1、工资福利支出2963.19万元，主要用于：基本工资、津贴补贴、绩效工资、养老保险缴费、伙食补贴、住房公积金及其他工资福利支出。</w:t>
      </w:r>
    </w:p>
    <w:p>
      <w:pPr>
        <w:ind w:firstLine="600" w:firstLineChars="200"/>
        <w:rPr>
          <w:rFonts w:ascii="仿宋_GB2312" w:eastAsia="仿宋_GB2312"/>
          <w:sz w:val="30"/>
          <w:szCs w:val="30"/>
        </w:rPr>
      </w:pPr>
      <w:r>
        <w:rPr>
          <w:rFonts w:hint="eastAsia" w:ascii="仿宋_GB2312" w:eastAsia="仿宋_GB2312"/>
          <w:sz w:val="30"/>
          <w:szCs w:val="30"/>
        </w:rPr>
        <w:t>2、商品和服务支出0.1万元，主要用于：福利费支出。</w:t>
      </w:r>
    </w:p>
    <w:p>
      <w:pPr>
        <w:ind w:firstLine="600" w:firstLineChars="200"/>
        <w:rPr>
          <w:rFonts w:ascii="仿宋_GB2312" w:eastAsia="仿宋_GB2312"/>
          <w:sz w:val="30"/>
          <w:szCs w:val="30"/>
        </w:rPr>
      </w:pPr>
      <w:r>
        <w:rPr>
          <w:rFonts w:hint="eastAsia" w:ascii="仿宋_GB2312" w:eastAsia="仿宋_GB2312"/>
          <w:sz w:val="30"/>
          <w:szCs w:val="30"/>
        </w:rPr>
        <w:t>3、资本性支出0.56万元，主要用于：办公设备购置。</w:t>
      </w:r>
    </w:p>
    <w:p>
      <w:pPr>
        <w:ind w:firstLine="602" w:firstLineChars="200"/>
        <w:outlineLvl w:val="0"/>
        <w:rPr>
          <w:rFonts w:ascii="楷体_GB2312" w:eastAsia="楷体_GB2312"/>
          <w:b/>
          <w:sz w:val="30"/>
          <w:szCs w:val="30"/>
        </w:rPr>
      </w:pPr>
      <w:r>
        <w:rPr>
          <w:rFonts w:hint="eastAsia" w:ascii="楷体_GB2312" w:eastAsia="楷体_GB2312"/>
          <w:b/>
          <w:sz w:val="30"/>
          <w:szCs w:val="30"/>
        </w:rPr>
        <w:t>七、关于上海市松江区石湖荡镇社区卫生服务中心2018年度一般公共预算财政拨款“三公”经费支出决算情况说明</w:t>
      </w:r>
    </w:p>
    <w:p>
      <w:pPr>
        <w:ind w:firstLine="602" w:firstLineChars="200"/>
        <w:outlineLvl w:val="0"/>
        <w:rPr>
          <w:rFonts w:ascii="楷体_GB2312" w:eastAsia="楷体_GB2312"/>
          <w:b/>
          <w:sz w:val="30"/>
          <w:szCs w:val="30"/>
        </w:rPr>
      </w:pPr>
      <w:r>
        <w:rPr>
          <w:rFonts w:hint="eastAsia" w:ascii="楷体_GB2312" w:hAnsi="宋体" w:eastAsia="楷体_GB2312"/>
          <w:b/>
          <w:sz w:val="30"/>
          <w:szCs w:val="30"/>
        </w:rPr>
        <w:t>（一）</w:t>
      </w:r>
      <w:r>
        <w:rPr>
          <w:rFonts w:hint="eastAsia" w:ascii="楷体_GB2312" w:eastAsia="楷体_GB2312"/>
          <w:b/>
          <w:sz w:val="30"/>
          <w:szCs w:val="30"/>
        </w:rPr>
        <w:t>“三公”经费财政拨款支出决算总体情况说明。</w:t>
      </w:r>
    </w:p>
    <w:p>
      <w:pPr>
        <w:ind w:firstLine="600" w:firstLineChars="200"/>
        <w:rPr>
          <w:rFonts w:ascii="仿宋_GB2312" w:eastAsia="仿宋_GB2312"/>
          <w:sz w:val="30"/>
          <w:szCs w:val="30"/>
        </w:rPr>
      </w:pPr>
      <w:r>
        <w:rPr>
          <w:rFonts w:hint="eastAsia" w:ascii="仿宋_GB2312" w:hAnsi="宋体" w:eastAsia="仿宋_GB2312"/>
          <w:sz w:val="30"/>
          <w:szCs w:val="30"/>
        </w:rPr>
        <w:t>上海市松江区石湖荡镇社区卫生服务中心</w:t>
      </w:r>
      <w:r>
        <w:rPr>
          <w:rFonts w:hint="eastAsia" w:ascii="仿宋_GB2312" w:eastAsia="仿宋_GB2312"/>
          <w:sz w:val="30"/>
          <w:szCs w:val="30"/>
        </w:rPr>
        <w:t>2018年度“三公”经费财政拨款支出年初预算为0万元，支出决算为0万元，完成预算的0%，其中：因公出国（境）费决算为0万元，完成预算的0%；公务用车购置及运行维护费支出决算为0万元，完成预算的0%；公务接待费支出决算为0万元.</w:t>
      </w:r>
    </w:p>
    <w:p>
      <w:pPr>
        <w:ind w:firstLine="602" w:firstLineChars="200"/>
        <w:outlineLvl w:val="0"/>
        <w:rPr>
          <w:rFonts w:ascii="楷体_GB2312" w:eastAsia="楷体_GB2312"/>
          <w:b/>
          <w:sz w:val="30"/>
          <w:szCs w:val="30"/>
        </w:rPr>
      </w:pPr>
      <w:r>
        <w:rPr>
          <w:rFonts w:hint="eastAsia" w:ascii="楷体_GB2312" w:hAnsi="宋体" w:eastAsia="楷体_GB2312"/>
          <w:b/>
          <w:sz w:val="30"/>
          <w:szCs w:val="30"/>
        </w:rPr>
        <w:t>（二）</w:t>
      </w:r>
      <w:r>
        <w:rPr>
          <w:rFonts w:hint="eastAsia" w:ascii="楷体_GB2312" w:eastAsia="楷体_GB2312"/>
          <w:b/>
          <w:sz w:val="30"/>
          <w:szCs w:val="30"/>
        </w:rPr>
        <w:t>“三公”经费财政拨款支出决算具体情况说明。</w:t>
      </w:r>
    </w:p>
    <w:p>
      <w:pPr>
        <w:ind w:firstLine="600" w:firstLineChars="200"/>
        <w:rPr>
          <w:rFonts w:ascii="楷体_GB2312" w:eastAsia="楷体_GB2312"/>
          <w:b/>
          <w:sz w:val="30"/>
          <w:szCs w:val="30"/>
        </w:rPr>
      </w:pPr>
      <w:r>
        <w:rPr>
          <w:rFonts w:hint="eastAsia" w:ascii="仿宋_GB2312" w:eastAsia="仿宋_GB2312"/>
          <w:sz w:val="30"/>
          <w:szCs w:val="30"/>
        </w:rPr>
        <w:t>2018年度“三公”经费财政拨款支出决算中，因公出国（境）费支出决算0万元，占0%；公务用车购置及运行维护费支出决算0万元，占0%；公务接待费支出决算0万元，占0%。具体情况如下：</w:t>
      </w:r>
    </w:p>
    <w:p>
      <w:pPr>
        <w:ind w:firstLine="600" w:firstLineChars="200"/>
        <w:rPr>
          <w:rFonts w:ascii="仿宋_GB2312" w:hAnsi="华文中宋" w:eastAsia="仿宋_GB2312"/>
          <w:sz w:val="30"/>
          <w:szCs w:val="30"/>
        </w:rPr>
      </w:pPr>
      <w:r>
        <w:rPr>
          <w:rFonts w:hint="eastAsia" w:ascii="仿宋_GB2312" w:eastAsia="仿宋_GB2312"/>
          <w:sz w:val="30"/>
          <w:szCs w:val="30"/>
        </w:rPr>
        <w:t>1、因公出国（境）费支出0万元。全年安排因公出国（境）团组0个、累计0人次</w:t>
      </w:r>
      <w:r>
        <w:rPr>
          <w:rFonts w:hint="eastAsia" w:ascii="仿宋_GB2312" w:hAnsi="华文中宋" w:eastAsia="仿宋_GB2312"/>
          <w:sz w:val="30"/>
          <w:szCs w:val="30"/>
        </w:rPr>
        <w:t>。</w:t>
      </w:r>
    </w:p>
    <w:p>
      <w:pPr>
        <w:ind w:firstLine="600" w:firstLineChars="200"/>
        <w:rPr>
          <w:rFonts w:ascii="仿宋_GB2312" w:eastAsia="仿宋_GB2312"/>
          <w:sz w:val="30"/>
          <w:szCs w:val="30"/>
        </w:rPr>
      </w:pPr>
      <w:r>
        <w:rPr>
          <w:rFonts w:hint="eastAsia" w:ascii="仿宋_GB2312" w:eastAsia="仿宋_GB2312"/>
          <w:sz w:val="30"/>
          <w:szCs w:val="30"/>
        </w:rPr>
        <w:t>2、公务用车购置及运行维护费支出0万元。其中：</w:t>
      </w:r>
    </w:p>
    <w:p>
      <w:pPr>
        <w:ind w:firstLine="600" w:firstLineChars="200"/>
        <w:rPr>
          <w:rFonts w:eastAsia="仿宋_GB2312"/>
          <w:sz w:val="30"/>
          <w:szCs w:val="30"/>
        </w:rPr>
      </w:pPr>
      <w:r>
        <w:rPr>
          <w:rFonts w:hint="eastAsia" w:ascii="仿宋_GB2312" w:eastAsia="仿宋_GB2312"/>
          <w:sz w:val="30"/>
          <w:szCs w:val="30"/>
        </w:rPr>
        <w:t>公务用车购置支出为0万元。</w:t>
      </w:r>
      <w:r>
        <w:rPr>
          <w:rFonts w:eastAsia="仿宋_GB2312"/>
          <w:sz w:val="30"/>
          <w:szCs w:val="30"/>
        </w:rPr>
        <w:t>公务用车运行维护支出</w:t>
      </w:r>
      <w:r>
        <w:rPr>
          <w:rFonts w:hint="eastAsia" w:ascii="仿宋_GB2312" w:eastAsia="仿宋_GB2312"/>
          <w:sz w:val="30"/>
          <w:szCs w:val="30"/>
        </w:rPr>
        <w:t>0</w:t>
      </w:r>
      <w:r>
        <w:rPr>
          <w:rFonts w:eastAsia="仿宋_GB2312"/>
          <w:sz w:val="30"/>
          <w:szCs w:val="30"/>
        </w:rPr>
        <w:t>万元。2018年，上海市松江区石湖荡镇社区卫生服务中心所属各预算单位开支财政拨款的公务用车保有量为</w:t>
      </w:r>
      <w:r>
        <w:rPr>
          <w:rFonts w:hint="eastAsia" w:ascii="仿宋_GB2312" w:eastAsia="仿宋_GB2312"/>
          <w:sz w:val="30"/>
          <w:szCs w:val="30"/>
        </w:rPr>
        <w:t>0</w:t>
      </w:r>
      <w:r>
        <w:rPr>
          <w:rFonts w:eastAsia="仿宋_GB2312"/>
          <w:sz w:val="30"/>
          <w:szCs w:val="30"/>
        </w:rPr>
        <w:t>辆。</w:t>
      </w:r>
    </w:p>
    <w:p>
      <w:pPr>
        <w:ind w:firstLine="600"/>
        <w:rPr>
          <w:rFonts w:ascii="仿宋_GB2312" w:eastAsia="仿宋_GB2312"/>
          <w:sz w:val="30"/>
          <w:szCs w:val="30"/>
        </w:rPr>
      </w:pPr>
      <w:r>
        <w:rPr>
          <w:rFonts w:hint="eastAsia" w:ascii="仿宋_GB2312" w:eastAsia="仿宋_GB2312"/>
          <w:sz w:val="30"/>
          <w:szCs w:val="30"/>
        </w:rPr>
        <w:t>3、公务接待费支出0万元。其中：</w:t>
      </w:r>
    </w:p>
    <w:p>
      <w:pPr>
        <w:ind w:firstLine="600"/>
        <w:rPr>
          <w:rFonts w:ascii="仿宋_GB2312" w:eastAsia="仿宋_GB2312"/>
          <w:sz w:val="30"/>
          <w:szCs w:val="30"/>
        </w:rPr>
      </w:pPr>
      <w:r>
        <w:rPr>
          <w:rFonts w:hint="eastAsia" w:ascii="仿宋_GB2312" w:eastAsia="仿宋_GB2312"/>
          <w:sz w:val="30"/>
          <w:szCs w:val="30"/>
        </w:rPr>
        <w:t>国内公务接待支出0万（含外宾接待支出0万元）。</w:t>
      </w:r>
    </w:p>
    <w:p>
      <w:pPr>
        <w:ind w:firstLine="602" w:firstLineChars="200"/>
        <w:outlineLvl w:val="0"/>
        <w:rPr>
          <w:rFonts w:ascii="楷体_GB2312" w:eastAsia="楷体_GB2312"/>
          <w:b/>
          <w:sz w:val="30"/>
          <w:szCs w:val="30"/>
        </w:rPr>
      </w:pPr>
      <w:r>
        <w:rPr>
          <w:rFonts w:hint="eastAsia" w:ascii="楷体_GB2312" w:eastAsia="楷体_GB2312"/>
          <w:b/>
          <w:sz w:val="30"/>
          <w:szCs w:val="30"/>
        </w:rPr>
        <w:t>八、关于</w:t>
      </w:r>
      <w:r>
        <w:rPr>
          <w:rFonts w:hint="eastAsia" w:ascii="楷体_GB2312" w:hAnsi="宋体" w:eastAsia="楷体_GB2312"/>
          <w:b/>
          <w:sz w:val="30"/>
          <w:szCs w:val="30"/>
        </w:rPr>
        <w:t>上海市松江区石湖荡镇社区卫生服务中心</w:t>
      </w:r>
      <w:r>
        <w:rPr>
          <w:rFonts w:hint="eastAsia" w:ascii="楷体_GB2312" w:eastAsia="楷体_GB2312"/>
          <w:b/>
          <w:sz w:val="30"/>
          <w:szCs w:val="30"/>
        </w:rPr>
        <w:t>2018年度政府性基金预算财政拨款支出决算情况说明</w:t>
      </w:r>
    </w:p>
    <w:p>
      <w:pPr>
        <w:ind w:firstLine="600" w:firstLineChars="200"/>
        <w:rPr>
          <w:rFonts w:ascii="仿宋_GB2312" w:eastAsia="仿宋_GB2312"/>
          <w:sz w:val="30"/>
          <w:szCs w:val="30"/>
        </w:rPr>
      </w:pPr>
      <w:r>
        <w:rPr>
          <w:rFonts w:hint="eastAsia" w:ascii="仿宋_GB2312" w:hAnsi="宋体" w:eastAsia="仿宋_GB2312"/>
          <w:sz w:val="30"/>
          <w:szCs w:val="30"/>
        </w:rPr>
        <w:t>上海市松江区石湖荡镇社区卫生服务中心</w:t>
      </w:r>
      <w:r>
        <w:rPr>
          <w:rFonts w:hint="eastAsia" w:ascii="仿宋_GB2312" w:eastAsia="仿宋_GB2312"/>
          <w:sz w:val="30"/>
          <w:szCs w:val="30"/>
        </w:rPr>
        <w:t>2018年度无政府性基金预算财政拨款支出。</w:t>
      </w:r>
    </w:p>
    <w:p>
      <w:pPr>
        <w:ind w:firstLine="602" w:firstLineChars="200"/>
        <w:outlineLvl w:val="0"/>
        <w:rPr>
          <w:rFonts w:ascii="楷体_GB2312" w:eastAsia="楷体_GB2312"/>
          <w:b/>
          <w:sz w:val="30"/>
          <w:szCs w:val="30"/>
        </w:rPr>
      </w:pPr>
      <w:r>
        <w:rPr>
          <w:rFonts w:hint="eastAsia" w:ascii="楷体_GB2312" w:eastAsia="楷体_GB2312"/>
          <w:b/>
          <w:sz w:val="30"/>
          <w:szCs w:val="30"/>
        </w:rPr>
        <w:t>九、国有资本经营预算财政拨款情况说明</w:t>
      </w:r>
    </w:p>
    <w:p>
      <w:pPr>
        <w:ind w:firstLine="600" w:firstLineChars="200"/>
        <w:rPr>
          <w:rFonts w:ascii="仿宋_GB2312" w:eastAsia="仿宋_GB2312"/>
          <w:sz w:val="30"/>
          <w:szCs w:val="30"/>
        </w:rPr>
      </w:pPr>
      <w:r>
        <w:rPr>
          <w:rFonts w:hint="eastAsia" w:ascii="仿宋_GB2312" w:hAnsi="宋体" w:eastAsia="仿宋_GB2312"/>
          <w:sz w:val="30"/>
          <w:szCs w:val="30"/>
        </w:rPr>
        <w:t>上海市松江区石湖荡镇社区卫生服务中心</w:t>
      </w:r>
      <w:r>
        <w:rPr>
          <w:rFonts w:hint="eastAsia" w:ascii="仿宋_GB2312" w:eastAsia="仿宋_GB2312"/>
          <w:sz w:val="30"/>
          <w:szCs w:val="30"/>
        </w:rPr>
        <w:t>2018年度无国有资本经营预算财政拨款支出。</w:t>
      </w:r>
    </w:p>
    <w:p>
      <w:pPr>
        <w:ind w:firstLine="600"/>
        <w:outlineLvl w:val="0"/>
        <w:rPr>
          <w:rFonts w:ascii="楷体_GB2312" w:eastAsia="楷体_GB2312"/>
          <w:b/>
          <w:sz w:val="30"/>
          <w:szCs w:val="30"/>
        </w:rPr>
      </w:pPr>
      <w:r>
        <w:rPr>
          <w:rFonts w:hint="eastAsia" w:ascii="楷体_GB2312" w:eastAsia="楷体_GB2312"/>
          <w:b/>
          <w:sz w:val="30"/>
          <w:szCs w:val="30"/>
        </w:rPr>
        <w:t>十、其他重要事项的情况说明</w:t>
      </w:r>
    </w:p>
    <w:p>
      <w:pPr>
        <w:ind w:firstLine="600"/>
        <w:outlineLvl w:val="0"/>
        <w:rPr>
          <w:rFonts w:ascii="楷体_GB2312" w:eastAsia="楷体_GB2312"/>
          <w:b/>
          <w:sz w:val="30"/>
          <w:szCs w:val="30"/>
        </w:rPr>
      </w:pPr>
      <w:r>
        <w:rPr>
          <w:rFonts w:hint="eastAsia" w:ascii="楷体_GB2312" w:eastAsia="楷体_GB2312"/>
          <w:b/>
          <w:sz w:val="30"/>
          <w:szCs w:val="30"/>
        </w:rPr>
        <w:t>（一）机关运行经费支出情况</w:t>
      </w:r>
    </w:p>
    <w:p>
      <w:pPr>
        <w:ind w:firstLine="600" w:firstLineChars="200"/>
        <w:rPr>
          <w:rFonts w:ascii="仿宋_GB2312" w:eastAsia="仿宋_GB2312"/>
          <w:sz w:val="30"/>
          <w:szCs w:val="30"/>
        </w:rPr>
      </w:pPr>
      <w:r>
        <w:rPr>
          <w:rFonts w:hint="eastAsia" w:ascii="仿宋_GB2312" w:hAnsi="宋体" w:eastAsia="仿宋_GB2312"/>
          <w:sz w:val="30"/>
          <w:szCs w:val="30"/>
        </w:rPr>
        <w:t>上海市松江区石湖荡镇社区卫生服务中心</w:t>
      </w:r>
      <w:r>
        <w:rPr>
          <w:rFonts w:hint="eastAsia" w:ascii="仿宋_GB2312" w:eastAsia="仿宋_GB2312"/>
          <w:sz w:val="30"/>
          <w:szCs w:val="30"/>
        </w:rPr>
        <w:t>2018年度无机关运行经费支出。</w:t>
      </w:r>
    </w:p>
    <w:p>
      <w:pPr>
        <w:ind w:firstLine="602" w:firstLineChars="200"/>
        <w:outlineLvl w:val="0"/>
        <w:rPr>
          <w:rFonts w:ascii="楷体_GB2312" w:eastAsia="楷体_GB2312"/>
        </w:rPr>
      </w:pPr>
      <w:r>
        <w:rPr>
          <w:rFonts w:hint="eastAsia" w:ascii="楷体_GB2312" w:hAnsi="宋体" w:eastAsia="楷体_GB2312" w:cs="楷体"/>
          <w:b/>
          <w:bCs/>
          <w:color w:val="000000"/>
          <w:sz w:val="30"/>
          <w:szCs w:val="30"/>
        </w:rPr>
        <w:t>（二）政府采购支出情况</w:t>
      </w:r>
    </w:p>
    <w:p>
      <w:pPr>
        <w:ind w:firstLine="600" w:firstLineChars="200"/>
        <w:rPr>
          <w:rFonts w:ascii="仿宋_GB2312" w:eastAsia="仿宋_GB2312"/>
          <w:sz w:val="30"/>
          <w:szCs w:val="30"/>
        </w:rPr>
      </w:pPr>
      <w:r>
        <w:rPr>
          <w:rFonts w:ascii="Times New Roman" w:hAnsi="Times New Roman" w:eastAsia="仿宋_GB2312" w:cs="Times New Roman"/>
          <w:sz w:val="30"/>
          <w:szCs w:val="30"/>
        </w:rPr>
        <w:t>上海市松江区石湖荡镇社区卫生服务中心</w:t>
      </w:r>
      <w:r>
        <w:rPr>
          <w:rFonts w:hint="eastAsia" w:ascii="仿宋_GB2312" w:eastAsia="仿宋_GB2312"/>
          <w:sz w:val="30"/>
          <w:szCs w:val="30"/>
        </w:rPr>
        <w:t>2018年度政府采购金额（以合同签订为准）为452.94万元，其中：货物采购金额279.14万元、工程采购金额65万元、服务采购金额108.8万元。</w:t>
      </w:r>
    </w:p>
    <w:p>
      <w:pPr>
        <w:widowControl/>
        <w:ind w:firstLine="602" w:firstLineChars="200"/>
        <w:jc w:val="left"/>
        <w:outlineLvl w:val="0"/>
        <w:rPr>
          <w:rFonts w:ascii="楷体_GB2312" w:hAnsi="宋体" w:eastAsia="楷体_GB2312" w:cs="楷体"/>
          <w:b/>
          <w:bCs/>
          <w:color w:val="000000"/>
          <w:kern w:val="0"/>
          <w:sz w:val="30"/>
          <w:szCs w:val="30"/>
        </w:rPr>
      </w:pPr>
      <w:r>
        <w:rPr>
          <w:rFonts w:hint="eastAsia" w:ascii="楷体_GB2312" w:hAnsi="宋体" w:eastAsia="楷体_GB2312" w:cs="楷体"/>
          <w:b/>
          <w:bCs/>
          <w:color w:val="000000"/>
          <w:kern w:val="0"/>
          <w:sz w:val="30"/>
          <w:szCs w:val="30"/>
        </w:rPr>
        <w:t>（三）车辆、房屋特殊占用情况</w:t>
      </w:r>
    </w:p>
    <w:p>
      <w:pPr>
        <w:spacing w:line="570" w:lineRule="exact"/>
        <w:ind w:firstLine="600" w:firstLineChars="200"/>
        <w:rPr>
          <w:rFonts w:ascii="仿宋_GB2312" w:eastAsia="仿宋_GB2312"/>
          <w:sz w:val="30"/>
          <w:szCs w:val="30"/>
        </w:rPr>
      </w:pPr>
      <w:r>
        <w:rPr>
          <w:rFonts w:ascii="Times New Roman" w:hAnsi="Times New Roman" w:eastAsia="仿宋_GB2312" w:cs="Times New Roman"/>
          <w:sz w:val="30"/>
          <w:szCs w:val="30"/>
        </w:rPr>
        <w:t>上海市松江区石湖荡镇社区卫生服务中心</w:t>
      </w:r>
      <w:r>
        <w:rPr>
          <w:rFonts w:hint="eastAsia" w:ascii="仿宋_GB2312" w:eastAsia="仿宋_GB2312"/>
          <w:sz w:val="30"/>
          <w:szCs w:val="30"/>
        </w:rPr>
        <w:t>2018年度无车辆/房屋特殊占用情况说明。</w:t>
      </w:r>
    </w:p>
    <w:p>
      <w:pPr>
        <w:widowControl/>
        <w:ind w:firstLine="602" w:firstLineChars="200"/>
        <w:jc w:val="left"/>
        <w:outlineLvl w:val="0"/>
        <w:rPr>
          <w:rFonts w:ascii="宋体" w:hAnsi="宋体" w:cs="宋体"/>
          <w:color w:val="000000"/>
          <w:kern w:val="0"/>
          <w:sz w:val="24"/>
        </w:rPr>
      </w:pPr>
      <w:r>
        <w:rPr>
          <w:rFonts w:hint="eastAsia" w:ascii="楷体_GB2312" w:hAnsi="宋体" w:eastAsia="楷体_GB2312" w:cs="楷体"/>
          <w:b/>
          <w:bCs/>
          <w:color w:val="000000"/>
          <w:kern w:val="0"/>
          <w:sz w:val="30"/>
          <w:szCs w:val="30"/>
        </w:rPr>
        <w:t>（四）预算绩效管理情况</w:t>
      </w:r>
    </w:p>
    <w:p>
      <w:pPr>
        <w:pStyle w:val="16"/>
        <w:ind w:firstLine="600" w:firstLineChars="200"/>
        <w:jc w:val="both"/>
        <w:rPr>
          <w:rFonts w:eastAsia="仿宋_GB2312"/>
          <w:sz w:val="30"/>
          <w:szCs w:val="30"/>
        </w:rPr>
      </w:pPr>
      <w:r>
        <w:rPr>
          <w:rFonts w:hint="eastAsia" w:ascii="仿宋_GB2312" w:eastAsia="仿宋_GB2312"/>
          <w:sz w:val="30"/>
          <w:szCs w:val="30"/>
        </w:rPr>
        <w:t>上海市松江区石湖荡镇社区卫生服务中心2018年度预算绩效管理工作开展情况如下：全过程绩效管理实施情况：</w:t>
      </w:r>
      <w:r>
        <w:rPr>
          <w:rFonts w:hint="eastAsia" w:ascii="仿宋_GB2312" w:eastAsia="仿宋_GB2312"/>
          <w:color w:val="auto"/>
          <w:sz w:val="30"/>
          <w:szCs w:val="30"/>
        </w:rPr>
        <w:t>2018年度开展的绩效跟踪评价项目0个</w:t>
      </w:r>
      <w:r>
        <w:rPr>
          <w:rFonts w:hint="eastAsia" w:ascii="仿宋_GB2312" w:eastAsia="仿宋_GB2312"/>
          <w:sz w:val="30"/>
          <w:szCs w:val="30"/>
        </w:rPr>
        <w:t>，涉及预算金额0万元；</w:t>
      </w:r>
      <w:r>
        <w:rPr>
          <w:rFonts w:hint="eastAsia" w:ascii="仿宋_GB2312" w:eastAsia="仿宋_GB2312"/>
          <w:color w:val="auto"/>
          <w:sz w:val="30"/>
          <w:szCs w:val="30"/>
        </w:rPr>
        <w:t>2018年度开展的绩效评价项目16个</w:t>
      </w:r>
      <w:r>
        <w:rPr>
          <w:rFonts w:hint="eastAsia" w:ascii="仿宋_GB2312" w:eastAsia="仿宋_GB2312"/>
          <w:sz w:val="30"/>
          <w:szCs w:val="30"/>
        </w:rPr>
        <w:t>，涉及预算金额528.00万元，（其中，绩效评级为“优”的项目0个；绩效评级为“良”的项目16个；绩效评级为“合格”的项目0个；绩效评级为“不合格”的项目0个）。</w:t>
      </w:r>
    </w:p>
    <w:p>
      <w:pPr>
        <w:jc w:val="center"/>
        <w:rPr>
          <w:rFonts w:ascii="黑体" w:eastAsia="黑体"/>
          <w:sz w:val="30"/>
          <w:szCs w:val="30"/>
        </w:rPr>
      </w:pPr>
      <w:r>
        <w:rPr>
          <w:rFonts w:ascii="黑体" w:eastAsia="黑体"/>
          <w:sz w:val="30"/>
          <w:szCs w:val="30"/>
        </w:rPr>
        <w:br w:type="page"/>
      </w:r>
      <w:r>
        <w:rPr>
          <w:rFonts w:hint="eastAsia" w:ascii="黑体" w:eastAsia="黑体"/>
          <w:sz w:val="30"/>
          <w:szCs w:val="30"/>
        </w:rPr>
        <w:t>第四部分    名词解释</w:t>
      </w:r>
    </w:p>
    <w:p>
      <w:pPr>
        <w:rPr>
          <w:rFonts w:ascii="仿宋_GB2312" w:hAnsi="宋体" w:eastAsia="仿宋_GB2312" w:cs="仿宋_GB2312"/>
          <w:color w:val="000000"/>
          <w:sz w:val="30"/>
          <w:szCs w:val="30"/>
        </w:rPr>
      </w:pPr>
    </w:p>
    <w:p>
      <w:pPr>
        <w:ind w:firstLine="600" w:firstLineChars="200"/>
        <w:rPr>
          <w:rFonts w:ascii="仿宋_GB2312" w:eastAsia="仿宋_GB2312"/>
          <w:sz w:val="30"/>
          <w:szCs w:val="30"/>
        </w:rPr>
      </w:pPr>
      <w:r>
        <w:rPr>
          <w:rFonts w:hint="eastAsia" w:ascii="仿宋_GB2312" w:eastAsia="仿宋_GB2312"/>
          <w:sz w:val="30"/>
          <w:szCs w:val="30"/>
        </w:rPr>
        <w:t>一、财政拨款收入：指单位本年度从本级财政部门取得的财政拨款，包括一般公共预算财政拨款和政府性基金预算财政拨款。</w:t>
      </w:r>
    </w:p>
    <w:p>
      <w:pPr>
        <w:ind w:firstLine="600" w:firstLineChars="200"/>
        <w:rPr>
          <w:rFonts w:ascii="仿宋_GB2312" w:eastAsia="仿宋_GB2312"/>
          <w:sz w:val="30"/>
          <w:szCs w:val="30"/>
        </w:rPr>
      </w:pPr>
      <w:r>
        <w:rPr>
          <w:rFonts w:hint="eastAsia" w:ascii="仿宋_GB2312" w:eastAsia="仿宋_GB2312"/>
          <w:sz w:val="30"/>
          <w:szCs w:val="30"/>
        </w:rPr>
        <w:t>二、事业收入：指事业单位开展专业业务活动及其辅助活动取得的收入。主要是：医疗收入、药品收入、其他收入等。</w:t>
      </w:r>
    </w:p>
    <w:p>
      <w:pPr>
        <w:ind w:firstLine="600" w:firstLineChars="200"/>
        <w:rPr>
          <w:rFonts w:ascii="仿宋_GB2312" w:eastAsia="仿宋_GB2312"/>
          <w:sz w:val="30"/>
          <w:szCs w:val="30"/>
        </w:rPr>
      </w:pPr>
      <w:r>
        <w:rPr>
          <w:rFonts w:hint="eastAsia" w:ascii="仿宋_GB2312" w:eastAsia="仿宋_GB2312"/>
          <w:sz w:val="30"/>
          <w:szCs w:val="30"/>
        </w:rPr>
        <w:t>三、经营收入：指事业单位在专业业务活动及其辅助活动之外开展非独立核算经营活动取得的收入。</w:t>
      </w:r>
    </w:p>
    <w:p>
      <w:pPr>
        <w:ind w:firstLine="600" w:firstLineChars="200"/>
        <w:rPr>
          <w:rFonts w:ascii="仿宋_GB2312" w:eastAsia="仿宋_GB2312"/>
          <w:sz w:val="30"/>
          <w:szCs w:val="30"/>
        </w:rPr>
      </w:pPr>
      <w:r>
        <w:rPr>
          <w:rFonts w:hint="eastAsia" w:ascii="仿宋_GB2312" w:eastAsia="仿宋_GB2312"/>
          <w:sz w:val="30"/>
          <w:szCs w:val="30"/>
        </w:rPr>
        <w:t>四、其他收入：指单位取得的除“财政拨款收入”、“事业收入”、“经营收入”等以外的收入。</w:t>
      </w:r>
    </w:p>
    <w:p>
      <w:pPr>
        <w:ind w:firstLine="600" w:firstLineChars="200"/>
        <w:rPr>
          <w:rFonts w:ascii="仿宋_GB2312" w:eastAsia="仿宋_GB2312"/>
          <w:sz w:val="30"/>
          <w:szCs w:val="30"/>
        </w:rPr>
      </w:pPr>
      <w:r>
        <w:rPr>
          <w:rFonts w:hint="eastAsia" w:ascii="仿宋_GB2312" w:eastAsia="仿宋_GB2312"/>
          <w:sz w:val="30"/>
          <w:szCs w:val="30"/>
        </w:rPr>
        <w:t>五、年初结转和结余：指以前年度尚未完成、结转到本年按有关规定继续使用的资金。</w:t>
      </w:r>
    </w:p>
    <w:p>
      <w:pPr>
        <w:ind w:firstLine="600" w:firstLineChars="200"/>
        <w:rPr>
          <w:rFonts w:ascii="仿宋_GB2312" w:eastAsia="仿宋_GB2312"/>
          <w:sz w:val="30"/>
          <w:szCs w:val="30"/>
        </w:rPr>
      </w:pPr>
      <w:r>
        <w:rPr>
          <w:rFonts w:hint="eastAsia" w:ascii="仿宋_GB2312" w:eastAsia="仿宋_GB2312"/>
          <w:sz w:val="30"/>
          <w:szCs w:val="30"/>
        </w:rPr>
        <w:t>六、年末结转和结余：指本年度或以前年度预算安排、因客观条件发生变化无法按原计划实施，需延迟到以后年度按有关规定继续使用的资金。</w:t>
      </w:r>
    </w:p>
    <w:p>
      <w:pPr>
        <w:ind w:firstLine="600" w:firstLineChars="200"/>
        <w:rPr>
          <w:rFonts w:ascii="仿宋_GB2312" w:eastAsia="仿宋_GB2312"/>
          <w:sz w:val="30"/>
          <w:szCs w:val="30"/>
        </w:rPr>
      </w:pPr>
      <w:r>
        <w:rPr>
          <w:rFonts w:hint="eastAsia" w:ascii="仿宋_GB2312" w:eastAsia="仿宋_GB2312"/>
          <w:sz w:val="30"/>
          <w:szCs w:val="30"/>
        </w:rPr>
        <w:t>七、基本支出：指单位为保障机构正常运转、完成日常工作任务而发生的各项支出。</w:t>
      </w:r>
    </w:p>
    <w:p>
      <w:pPr>
        <w:ind w:firstLine="600" w:firstLineChars="200"/>
        <w:rPr>
          <w:rFonts w:ascii="仿宋_GB2312" w:eastAsia="仿宋_GB2312"/>
          <w:sz w:val="30"/>
          <w:szCs w:val="30"/>
        </w:rPr>
      </w:pPr>
      <w:r>
        <w:rPr>
          <w:rFonts w:hint="eastAsia" w:ascii="仿宋_GB2312" w:eastAsia="仿宋_GB2312"/>
          <w:sz w:val="30"/>
          <w:szCs w:val="30"/>
        </w:rPr>
        <w:t>八、项目支出：指单位为完成特定的行政工作任务或事业发展目标，在基本支出之外发生的各项支出。</w:t>
      </w:r>
    </w:p>
    <w:p>
      <w:pPr>
        <w:ind w:firstLine="600" w:firstLineChars="200"/>
        <w:rPr>
          <w:rFonts w:ascii="仿宋_GB2312" w:eastAsia="仿宋_GB2312"/>
          <w:sz w:val="30"/>
          <w:szCs w:val="30"/>
        </w:rPr>
      </w:pPr>
      <w:r>
        <w:rPr>
          <w:rFonts w:hint="eastAsia" w:ascii="仿宋_GB2312" w:eastAsia="仿宋_GB2312"/>
          <w:sz w:val="30"/>
          <w:szCs w:val="30"/>
        </w:rPr>
        <w:t>九、经营支出：指事业单位在专业活动及辅助活动之外开展非独立核算经营活动发生的支出。</w:t>
      </w:r>
    </w:p>
    <w:p>
      <w:pPr>
        <w:ind w:firstLine="600" w:firstLineChars="200"/>
        <w:rPr>
          <w:rFonts w:ascii="仿宋_GB2312" w:eastAsia="仿宋_GB2312"/>
          <w:sz w:val="30"/>
          <w:szCs w:val="30"/>
        </w:rPr>
      </w:pPr>
      <w:r>
        <w:rPr>
          <w:rFonts w:hint="eastAsia" w:ascii="仿宋_GB2312" w:eastAsia="仿宋_GB2312"/>
          <w:sz w:val="30"/>
          <w:szCs w:val="30"/>
        </w:rPr>
        <w:t>十、“三公”经费：指单位使用本级财政拨款安排的因公出国（境）费、公务用车购置及运行维护费和公务接待费。其中:因公出国（境）费反映单位参加国际合作交流、重大项目洽谈、境外培训研修等的国际旅费、国外城市间交通费、住宿费、伙食费、培训费、公杂费等支出；公务接待费反映全国性专业会议、国家重大政策调研、专项检查以及外事团组接待交流等执行公务或开展业务所需住宿费、交通费、伙食费等支出；公务用车购置及运行维护费反映编制内公务车辆的报废更新，以及用于安排市内因公出差、公务文件交换、日常工作开展等所需公务用车燃料费、维修费、过路过桥费、保险费等支出。</w:t>
      </w:r>
    </w:p>
    <w:p>
      <w:pPr>
        <w:ind w:firstLine="600" w:firstLineChars="200"/>
        <w:rPr>
          <w:rFonts w:ascii="仿宋_GB2312" w:eastAsia="仿宋_GB2312"/>
          <w:sz w:val="30"/>
          <w:szCs w:val="30"/>
        </w:rPr>
      </w:pPr>
      <w:r>
        <w:rPr>
          <w:rFonts w:hint="eastAsia" w:ascii="仿宋_GB2312" w:eastAsia="仿宋_GB2312"/>
          <w:sz w:val="30"/>
          <w:szCs w:val="30"/>
        </w:rPr>
        <w:t>十一、机关运行经费：指行政单位和参照公务员法管理的事业单位使用一般公共预算财政拨款安排的基本支出中的日常公用经费支出。</w:t>
      </w:r>
    </w:p>
    <w:p>
      <w:pPr>
        <w:ind w:firstLine="600" w:firstLineChars="200"/>
        <w:rPr>
          <w:rFonts w:ascii="仿宋_GB2312" w:eastAsia="仿宋_GB2312"/>
          <w:sz w:val="30"/>
          <w:szCs w:val="30"/>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00007A87" w:usb1="80000000" w:usb2="00000008" w:usb3="00000000" w:csb0="400001FF" w:csb1="FFFF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0000000000000000000"/>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consecutiveHyphenLimit w:val="46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16F9C"/>
    <w:rsid w:val="000010A2"/>
    <w:rsid w:val="00002988"/>
    <w:rsid w:val="00002ED2"/>
    <w:rsid w:val="00003679"/>
    <w:rsid w:val="000064FD"/>
    <w:rsid w:val="00006C3B"/>
    <w:rsid w:val="00007041"/>
    <w:rsid w:val="000101D4"/>
    <w:rsid w:val="00012850"/>
    <w:rsid w:val="0001593A"/>
    <w:rsid w:val="000165D1"/>
    <w:rsid w:val="00020097"/>
    <w:rsid w:val="000208A2"/>
    <w:rsid w:val="00023598"/>
    <w:rsid w:val="00031247"/>
    <w:rsid w:val="0003212E"/>
    <w:rsid w:val="00033BA7"/>
    <w:rsid w:val="00033C55"/>
    <w:rsid w:val="000345D2"/>
    <w:rsid w:val="00035E5A"/>
    <w:rsid w:val="0003612C"/>
    <w:rsid w:val="00037B07"/>
    <w:rsid w:val="00041AC9"/>
    <w:rsid w:val="00043425"/>
    <w:rsid w:val="0004551F"/>
    <w:rsid w:val="00047570"/>
    <w:rsid w:val="000500A2"/>
    <w:rsid w:val="000501F2"/>
    <w:rsid w:val="0005112C"/>
    <w:rsid w:val="000519AA"/>
    <w:rsid w:val="00051F6B"/>
    <w:rsid w:val="000520D3"/>
    <w:rsid w:val="0005212B"/>
    <w:rsid w:val="000543FB"/>
    <w:rsid w:val="00055B43"/>
    <w:rsid w:val="00057832"/>
    <w:rsid w:val="000603B4"/>
    <w:rsid w:val="000605E7"/>
    <w:rsid w:val="00067A55"/>
    <w:rsid w:val="0007013D"/>
    <w:rsid w:val="00070783"/>
    <w:rsid w:val="00071B13"/>
    <w:rsid w:val="00072FED"/>
    <w:rsid w:val="00073F78"/>
    <w:rsid w:val="00080808"/>
    <w:rsid w:val="000826F2"/>
    <w:rsid w:val="0008408C"/>
    <w:rsid w:val="000844C2"/>
    <w:rsid w:val="000903AC"/>
    <w:rsid w:val="0009084B"/>
    <w:rsid w:val="00091E55"/>
    <w:rsid w:val="0009385E"/>
    <w:rsid w:val="00093A8F"/>
    <w:rsid w:val="0009436B"/>
    <w:rsid w:val="00095310"/>
    <w:rsid w:val="000958A6"/>
    <w:rsid w:val="000958D6"/>
    <w:rsid w:val="00096E25"/>
    <w:rsid w:val="000979C9"/>
    <w:rsid w:val="00097DB9"/>
    <w:rsid w:val="000A171F"/>
    <w:rsid w:val="000A22AD"/>
    <w:rsid w:val="000A3E0F"/>
    <w:rsid w:val="000A45C4"/>
    <w:rsid w:val="000A52AA"/>
    <w:rsid w:val="000A5BA5"/>
    <w:rsid w:val="000A5FBE"/>
    <w:rsid w:val="000A6877"/>
    <w:rsid w:val="000A78EC"/>
    <w:rsid w:val="000B1A3C"/>
    <w:rsid w:val="000B4E9B"/>
    <w:rsid w:val="000B50DE"/>
    <w:rsid w:val="000B6FD7"/>
    <w:rsid w:val="000B7F8A"/>
    <w:rsid w:val="000C4733"/>
    <w:rsid w:val="000C4DA0"/>
    <w:rsid w:val="000C676E"/>
    <w:rsid w:val="000C708D"/>
    <w:rsid w:val="000C7E6D"/>
    <w:rsid w:val="000D0016"/>
    <w:rsid w:val="000D06BF"/>
    <w:rsid w:val="000D0979"/>
    <w:rsid w:val="000D19D0"/>
    <w:rsid w:val="000D1C68"/>
    <w:rsid w:val="000D28FB"/>
    <w:rsid w:val="000D4BFC"/>
    <w:rsid w:val="000D5F94"/>
    <w:rsid w:val="000D5FC4"/>
    <w:rsid w:val="000D7C36"/>
    <w:rsid w:val="000E0A17"/>
    <w:rsid w:val="000E10BE"/>
    <w:rsid w:val="000E2408"/>
    <w:rsid w:val="000E5A63"/>
    <w:rsid w:val="000E6A47"/>
    <w:rsid w:val="000F1D18"/>
    <w:rsid w:val="000F3A07"/>
    <w:rsid w:val="000F4017"/>
    <w:rsid w:val="000F4E6E"/>
    <w:rsid w:val="00103478"/>
    <w:rsid w:val="001036F6"/>
    <w:rsid w:val="00103D6C"/>
    <w:rsid w:val="00103EBF"/>
    <w:rsid w:val="00105AE8"/>
    <w:rsid w:val="00106893"/>
    <w:rsid w:val="00106DF4"/>
    <w:rsid w:val="0011056D"/>
    <w:rsid w:val="001108C6"/>
    <w:rsid w:val="00112D6D"/>
    <w:rsid w:val="00113470"/>
    <w:rsid w:val="0011478A"/>
    <w:rsid w:val="00116421"/>
    <w:rsid w:val="00122900"/>
    <w:rsid w:val="00122C3E"/>
    <w:rsid w:val="00122DD3"/>
    <w:rsid w:val="00127ED4"/>
    <w:rsid w:val="00130627"/>
    <w:rsid w:val="0013064E"/>
    <w:rsid w:val="00131018"/>
    <w:rsid w:val="00131FD8"/>
    <w:rsid w:val="00136A4E"/>
    <w:rsid w:val="00136B2A"/>
    <w:rsid w:val="00140021"/>
    <w:rsid w:val="00141D03"/>
    <w:rsid w:val="00141F0E"/>
    <w:rsid w:val="00142799"/>
    <w:rsid w:val="0014303B"/>
    <w:rsid w:val="00143A17"/>
    <w:rsid w:val="00143AD4"/>
    <w:rsid w:val="0014461E"/>
    <w:rsid w:val="001446B1"/>
    <w:rsid w:val="00146084"/>
    <w:rsid w:val="0014660F"/>
    <w:rsid w:val="0014797E"/>
    <w:rsid w:val="001508EE"/>
    <w:rsid w:val="001515AA"/>
    <w:rsid w:val="001534D6"/>
    <w:rsid w:val="001554E0"/>
    <w:rsid w:val="00156432"/>
    <w:rsid w:val="0016209F"/>
    <w:rsid w:val="0016220D"/>
    <w:rsid w:val="001633A7"/>
    <w:rsid w:val="00164147"/>
    <w:rsid w:val="001656C0"/>
    <w:rsid w:val="00167CD2"/>
    <w:rsid w:val="0017289D"/>
    <w:rsid w:val="00172F09"/>
    <w:rsid w:val="001766FA"/>
    <w:rsid w:val="001769B1"/>
    <w:rsid w:val="00176A90"/>
    <w:rsid w:val="00180D9A"/>
    <w:rsid w:val="00183ED7"/>
    <w:rsid w:val="00186F8E"/>
    <w:rsid w:val="001872EB"/>
    <w:rsid w:val="00191774"/>
    <w:rsid w:val="00191A67"/>
    <w:rsid w:val="001940B3"/>
    <w:rsid w:val="00194642"/>
    <w:rsid w:val="00195455"/>
    <w:rsid w:val="0019579F"/>
    <w:rsid w:val="001966A6"/>
    <w:rsid w:val="001968DB"/>
    <w:rsid w:val="00197F7F"/>
    <w:rsid w:val="001A07BB"/>
    <w:rsid w:val="001A1F2C"/>
    <w:rsid w:val="001A3BE8"/>
    <w:rsid w:val="001A5EFD"/>
    <w:rsid w:val="001B0DFF"/>
    <w:rsid w:val="001B1009"/>
    <w:rsid w:val="001B1122"/>
    <w:rsid w:val="001B11F6"/>
    <w:rsid w:val="001B26E7"/>
    <w:rsid w:val="001B3D4C"/>
    <w:rsid w:val="001B4775"/>
    <w:rsid w:val="001B7C79"/>
    <w:rsid w:val="001C1F26"/>
    <w:rsid w:val="001C3948"/>
    <w:rsid w:val="001C47B5"/>
    <w:rsid w:val="001C513E"/>
    <w:rsid w:val="001C61E8"/>
    <w:rsid w:val="001C62E9"/>
    <w:rsid w:val="001D4442"/>
    <w:rsid w:val="001E067D"/>
    <w:rsid w:val="001E1524"/>
    <w:rsid w:val="001E1779"/>
    <w:rsid w:val="001E34DB"/>
    <w:rsid w:val="001E44A8"/>
    <w:rsid w:val="001E5F9A"/>
    <w:rsid w:val="001E7BB7"/>
    <w:rsid w:val="001F089A"/>
    <w:rsid w:val="001F189C"/>
    <w:rsid w:val="001F28D4"/>
    <w:rsid w:val="001F3273"/>
    <w:rsid w:val="001F5B1E"/>
    <w:rsid w:val="001F62A6"/>
    <w:rsid w:val="001F67C6"/>
    <w:rsid w:val="001F6BEB"/>
    <w:rsid w:val="002013A7"/>
    <w:rsid w:val="00201E66"/>
    <w:rsid w:val="00204081"/>
    <w:rsid w:val="0020409B"/>
    <w:rsid w:val="00206707"/>
    <w:rsid w:val="0020769D"/>
    <w:rsid w:val="002103CF"/>
    <w:rsid w:val="002108C7"/>
    <w:rsid w:val="00210D32"/>
    <w:rsid w:val="00214C1E"/>
    <w:rsid w:val="002165D2"/>
    <w:rsid w:val="002203AE"/>
    <w:rsid w:val="00221D71"/>
    <w:rsid w:val="002228A3"/>
    <w:rsid w:val="00223685"/>
    <w:rsid w:val="00223C4E"/>
    <w:rsid w:val="00225BB8"/>
    <w:rsid w:val="00227812"/>
    <w:rsid w:val="002314E8"/>
    <w:rsid w:val="00231A4A"/>
    <w:rsid w:val="002344B4"/>
    <w:rsid w:val="00234FBA"/>
    <w:rsid w:val="00237C89"/>
    <w:rsid w:val="0024009E"/>
    <w:rsid w:val="002407B5"/>
    <w:rsid w:val="0024300B"/>
    <w:rsid w:val="0024343A"/>
    <w:rsid w:val="00245D8A"/>
    <w:rsid w:val="00245EFC"/>
    <w:rsid w:val="00247373"/>
    <w:rsid w:val="002479C8"/>
    <w:rsid w:val="00251832"/>
    <w:rsid w:val="00253A2A"/>
    <w:rsid w:val="00253EF2"/>
    <w:rsid w:val="00254711"/>
    <w:rsid w:val="00254B2C"/>
    <w:rsid w:val="0025636D"/>
    <w:rsid w:val="00256DEE"/>
    <w:rsid w:val="0026183C"/>
    <w:rsid w:val="002619FB"/>
    <w:rsid w:val="00262C38"/>
    <w:rsid w:val="00263261"/>
    <w:rsid w:val="00270260"/>
    <w:rsid w:val="002704C9"/>
    <w:rsid w:val="002713C7"/>
    <w:rsid w:val="00272684"/>
    <w:rsid w:val="00273C49"/>
    <w:rsid w:val="0027491C"/>
    <w:rsid w:val="00276C4D"/>
    <w:rsid w:val="0027713E"/>
    <w:rsid w:val="00277371"/>
    <w:rsid w:val="00280B87"/>
    <w:rsid w:val="0028405E"/>
    <w:rsid w:val="00285D63"/>
    <w:rsid w:val="0028633A"/>
    <w:rsid w:val="00286DC8"/>
    <w:rsid w:val="0029203B"/>
    <w:rsid w:val="00292A6E"/>
    <w:rsid w:val="00293D9E"/>
    <w:rsid w:val="00294309"/>
    <w:rsid w:val="0029507A"/>
    <w:rsid w:val="00296A54"/>
    <w:rsid w:val="002A30F6"/>
    <w:rsid w:val="002A3BF8"/>
    <w:rsid w:val="002B0E91"/>
    <w:rsid w:val="002B4FF1"/>
    <w:rsid w:val="002B5132"/>
    <w:rsid w:val="002B5B88"/>
    <w:rsid w:val="002B67F8"/>
    <w:rsid w:val="002B7DCF"/>
    <w:rsid w:val="002C1AC5"/>
    <w:rsid w:val="002C3898"/>
    <w:rsid w:val="002C3AF8"/>
    <w:rsid w:val="002C5EF1"/>
    <w:rsid w:val="002C72A6"/>
    <w:rsid w:val="002C7444"/>
    <w:rsid w:val="002D12B9"/>
    <w:rsid w:val="002D32FE"/>
    <w:rsid w:val="002D398F"/>
    <w:rsid w:val="002D42AC"/>
    <w:rsid w:val="002D464D"/>
    <w:rsid w:val="002D606F"/>
    <w:rsid w:val="002D6153"/>
    <w:rsid w:val="002D64F3"/>
    <w:rsid w:val="002D710D"/>
    <w:rsid w:val="002D7282"/>
    <w:rsid w:val="002D7607"/>
    <w:rsid w:val="002E0051"/>
    <w:rsid w:val="002E2864"/>
    <w:rsid w:val="002E32D3"/>
    <w:rsid w:val="002E3B1F"/>
    <w:rsid w:val="002E4D33"/>
    <w:rsid w:val="002E5A4F"/>
    <w:rsid w:val="002E5F5F"/>
    <w:rsid w:val="002F0F7D"/>
    <w:rsid w:val="002F26C5"/>
    <w:rsid w:val="002F38C1"/>
    <w:rsid w:val="002F4CC6"/>
    <w:rsid w:val="002F6A75"/>
    <w:rsid w:val="002F6F58"/>
    <w:rsid w:val="00301C60"/>
    <w:rsid w:val="0030375D"/>
    <w:rsid w:val="003050E9"/>
    <w:rsid w:val="0030523D"/>
    <w:rsid w:val="003064AF"/>
    <w:rsid w:val="00307829"/>
    <w:rsid w:val="00311EDB"/>
    <w:rsid w:val="0031266F"/>
    <w:rsid w:val="003225E3"/>
    <w:rsid w:val="00322C22"/>
    <w:rsid w:val="003251C0"/>
    <w:rsid w:val="00325745"/>
    <w:rsid w:val="00335376"/>
    <w:rsid w:val="00336006"/>
    <w:rsid w:val="00341AF7"/>
    <w:rsid w:val="00344132"/>
    <w:rsid w:val="00345385"/>
    <w:rsid w:val="003459F6"/>
    <w:rsid w:val="00345F2B"/>
    <w:rsid w:val="00346621"/>
    <w:rsid w:val="00350504"/>
    <w:rsid w:val="003509C9"/>
    <w:rsid w:val="00351D77"/>
    <w:rsid w:val="00353451"/>
    <w:rsid w:val="0035377F"/>
    <w:rsid w:val="003544FF"/>
    <w:rsid w:val="00354B78"/>
    <w:rsid w:val="003618C7"/>
    <w:rsid w:val="00361DE7"/>
    <w:rsid w:val="00363F02"/>
    <w:rsid w:val="00364532"/>
    <w:rsid w:val="00374A62"/>
    <w:rsid w:val="00376E08"/>
    <w:rsid w:val="00380C62"/>
    <w:rsid w:val="00380D67"/>
    <w:rsid w:val="003816B7"/>
    <w:rsid w:val="00382637"/>
    <w:rsid w:val="0038380C"/>
    <w:rsid w:val="00385086"/>
    <w:rsid w:val="003854B6"/>
    <w:rsid w:val="00387CF1"/>
    <w:rsid w:val="00391C97"/>
    <w:rsid w:val="00393705"/>
    <w:rsid w:val="00395102"/>
    <w:rsid w:val="00397453"/>
    <w:rsid w:val="0039774D"/>
    <w:rsid w:val="003A01E9"/>
    <w:rsid w:val="003A124D"/>
    <w:rsid w:val="003A2371"/>
    <w:rsid w:val="003A27A9"/>
    <w:rsid w:val="003A374B"/>
    <w:rsid w:val="003A3E6F"/>
    <w:rsid w:val="003A4F06"/>
    <w:rsid w:val="003B30B1"/>
    <w:rsid w:val="003B4921"/>
    <w:rsid w:val="003B5A5E"/>
    <w:rsid w:val="003B7339"/>
    <w:rsid w:val="003C1187"/>
    <w:rsid w:val="003C154D"/>
    <w:rsid w:val="003C22A3"/>
    <w:rsid w:val="003C5D5A"/>
    <w:rsid w:val="003C7AED"/>
    <w:rsid w:val="003D105F"/>
    <w:rsid w:val="003D4416"/>
    <w:rsid w:val="003D531D"/>
    <w:rsid w:val="003D5845"/>
    <w:rsid w:val="003E0101"/>
    <w:rsid w:val="003E1866"/>
    <w:rsid w:val="003E29F6"/>
    <w:rsid w:val="003E4344"/>
    <w:rsid w:val="003E4DE5"/>
    <w:rsid w:val="003E5047"/>
    <w:rsid w:val="003E6DF2"/>
    <w:rsid w:val="003E788C"/>
    <w:rsid w:val="003F461D"/>
    <w:rsid w:val="003F4BF2"/>
    <w:rsid w:val="003F6045"/>
    <w:rsid w:val="003F7E1E"/>
    <w:rsid w:val="00402F78"/>
    <w:rsid w:val="0040496A"/>
    <w:rsid w:val="00404C24"/>
    <w:rsid w:val="0041179B"/>
    <w:rsid w:val="004120F9"/>
    <w:rsid w:val="00413296"/>
    <w:rsid w:val="004137D5"/>
    <w:rsid w:val="00413BA4"/>
    <w:rsid w:val="00413BD6"/>
    <w:rsid w:val="00414CCC"/>
    <w:rsid w:val="004207EA"/>
    <w:rsid w:val="00423395"/>
    <w:rsid w:val="00425053"/>
    <w:rsid w:val="00427FED"/>
    <w:rsid w:val="004302CC"/>
    <w:rsid w:val="00432DCD"/>
    <w:rsid w:val="00434279"/>
    <w:rsid w:val="004343EE"/>
    <w:rsid w:val="00434CF0"/>
    <w:rsid w:val="00436DA8"/>
    <w:rsid w:val="00437475"/>
    <w:rsid w:val="00441ECE"/>
    <w:rsid w:val="004432A1"/>
    <w:rsid w:val="004442FE"/>
    <w:rsid w:val="00457969"/>
    <w:rsid w:val="00457B7A"/>
    <w:rsid w:val="00461AAF"/>
    <w:rsid w:val="00463D8B"/>
    <w:rsid w:val="00464C8F"/>
    <w:rsid w:val="00465A04"/>
    <w:rsid w:val="00465D76"/>
    <w:rsid w:val="00470E43"/>
    <w:rsid w:val="00470F08"/>
    <w:rsid w:val="00474D24"/>
    <w:rsid w:val="00482129"/>
    <w:rsid w:val="0048515D"/>
    <w:rsid w:val="00485D5A"/>
    <w:rsid w:val="00487460"/>
    <w:rsid w:val="00487BEB"/>
    <w:rsid w:val="00492643"/>
    <w:rsid w:val="00493622"/>
    <w:rsid w:val="004A0B67"/>
    <w:rsid w:val="004A1499"/>
    <w:rsid w:val="004A3478"/>
    <w:rsid w:val="004A4DAA"/>
    <w:rsid w:val="004B292F"/>
    <w:rsid w:val="004B5BEE"/>
    <w:rsid w:val="004B6C28"/>
    <w:rsid w:val="004C0988"/>
    <w:rsid w:val="004C0EF4"/>
    <w:rsid w:val="004C1E66"/>
    <w:rsid w:val="004C3858"/>
    <w:rsid w:val="004C76B6"/>
    <w:rsid w:val="004D2C36"/>
    <w:rsid w:val="004D2E66"/>
    <w:rsid w:val="004D48D2"/>
    <w:rsid w:val="004D4B0D"/>
    <w:rsid w:val="004D6F06"/>
    <w:rsid w:val="004E025D"/>
    <w:rsid w:val="004E4347"/>
    <w:rsid w:val="004E7251"/>
    <w:rsid w:val="004E73AE"/>
    <w:rsid w:val="004F09FD"/>
    <w:rsid w:val="004F0B57"/>
    <w:rsid w:val="004F194C"/>
    <w:rsid w:val="004F4944"/>
    <w:rsid w:val="004F4BD8"/>
    <w:rsid w:val="004F722A"/>
    <w:rsid w:val="00502343"/>
    <w:rsid w:val="005032A6"/>
    <w:rsid w:val="00504423"/>
    <w:rsid w:val="0050534A"/>
    <w:rsid w:val="005054CA"/>
    <w:rsid w:val="00507E84"/>
    <w:rsid w:val="00507FE6"/>
    <w:rsid w:val="0051029E"/>
    <w:rsid w:val="00511828"/>
    <w:rsid w:val="00511D3B"/>
    <w:rsid w:val="00511E18"/>
    <w:rsid w:val="00511E57"/>
    <w:rsid w:val="00512004"/>
    <w:rsid w:val="00512B25"/>
    <w:rsid w:val="00512FE4"/>
    <w:rsid w:val="005151B6"/>
    <w:rsid w:val="00515CF5"/>
    <w:rsid w:val="00516F29"/>
    <w:rsid w:val="00516FDA"/>
    <w:rsid w:val="00517756"/>
    <w:rsid w:val="00520884"/>
    <w:rsid w:val="00520BE3"/>
    <w:rsid w:val="00524E6D"/>
    <w:rsid w:val="00527D79"/>
    <w:rsid w:val="005357B4"/>
    <w:rsid w:val="00535982"/>
    <w:rsid w:val="00535A17"/>
    <w:rsid w:val="00535F61"/>
    <w:rsid w:val="005408B6"/>
    <w:rsid w:val="00542E35"/>
    <w:rsid w:val="005446B5"/>
    <w:rsid w:val="00544BF2"/>
    <w:rsid w:val="00545F63"/>
    <w:rsid w:val="00551F2D"/>
    <w:rsid w:val="00553F8F"/>
    <w:rsid w:val="00554D6B"/>
    <w:rsid w:val="00555346"/>
    <w:rsid w:val="005560DA"/>
    <w:rsid w:val="00556B86"/>
    <w:rsid w:val="005571D0"/>
    <w:rsid w:val="00560667"/>
    <w:rsid w:val="00562E03"/>
    <w:rsid w:val="0056370D"/>
    <w:rsid w:val="005644D5"/>
    <w:rsid w:val="005665B2"/>
    <w:rsid w:val="00566CF7"/>
    <w:rsid w:val="00566DE7"/>
    <w:rsid w:val="00567288"/>
    <w:rsid w:val="00571038"/>
    <w:rsid w:val="0057123A"/>
    <w:rsid w:val="005713E6"/>
    <w:rsid w:val="0057315A"/>
    <w:rsid w:val="00574E3B"/>
    <w:rsid w:val="00580D6D"/>
    <w:rsid w:val="005816F8"/>
    <w:rsid w:val="00582341"/>
    <w:rsid w:val="0058360B"/>
    <w:rsid w:val="0058615F"/>
    <w:rsid w:val="0059093C"/>
    <w:rsid w:val="005932A7"/>
    <w:rsid w:val="00596EF9"/>
    <w:rsid w:val="005979E1"/>
    <w:rsid w:val="005979E4"/>
    <w:rsid w:val="00597D5D"/>
    <w:rsid w:val="005A0518"/>
    <w:rsid w:val="005A27E9"/>
    <w:rsid w:val="005A2D7C"/>
    <w:rsid w:val="005A49AB"/>
    <w:rsid w:val="005A57FB"/>
    <w:rsid w:val="005B0B3A"/>
    <w:rsid w:val="005B1441"/>
    <w:rsid w:val="005B46B8"/>
    <w:rsid w:val="005B4833"/>
    <w:rsid w:val="005C1A05"/>
    <w:rsid w:val="005C46F6"/>
    <w:rsid w:val="005C5064"/>
    <w:rsid w:val="005C64CC"/>
    <w:rsid w:val="005D4C55"/>
    <w:rsid w:val="005D55CA"/>
    <w:rsid w:val="005E0BCB"/>
    <w:rsid w:val="005E10A1"/>
    <w:rsid w:val="005E14D1"/>
    <w:rsid w:val="005E4687"/>
    <w:rsid w:val="005E4B94"/>
    <w:rsid w:val="005F0A33"/>
    <w:rsid w:val="005F1AED"/>
    <w:rsid w:val="005F76C0"/>
    <w:rsid w:val="006002E8"/>
    <w:rsid w:val="00600344"/>
    <w:rsid w:val="00601472"/>
    <w:rsid w:val="00602B15"/>
    <w:rsid w:val="00606C5B"/>
    <w:rsid w:val="00610435"/>
    <w:rsid w:val="00612CE0"/>
    <w:rsid w:val="006132C0"/>
    <w:rsid w:val="00615A27"/>
    <w:rsid w:val="0061795B"/>
    <w:rsid w:val="006220CA"/>
    <w:rsid w:val="00624ACE"/>
    <w:rsid w:val="00626937"/>
    <w:rsid w:val="00630105"/>
    <w:rsid w:val="00631754"/>
    <w:rsid w:val="0063448D"/>
    <w:rsid w:val="00634DD4"/>
    <w:rsid w:val="0063511A"/>
    <w:rsid w:val="0063561F"/>
    <w:rsid w:val="00635E93"/>
    <w:rsid w:val="006369C1"/>
    <w:rsid w:val="006376A5"/>
    <w:rsid w:val="00640C33"/>
    <w:rsid w:val="00640F31"/>
    <w:rsid w:val="00641563"/>
    <w:rsid w:val="00642292"/>
    <w:rsid w:val="006450EA"/>
    <w:rsid w:val="006462F5"/>
    <w:rsid w:val="0064731C"/>
    <w:rsid w:val="0064784E"/>
    <w:rsid w:val="00647AFD"/>
    <w:rsid w:val="00653036"/>
    <w:rsid w:val="00657016"/>
    <w:rsid w:val="00657230"/>
    <w:rsid w:val="00657383"/>
    <w:rsid w:val="00657BC8"/>
    <w:rsid w:val="00662A32"/>
    <w:rsid w:val="00662ED2"/>
    <w:rsid w:val="00663A92"/>
    <w:rsid w:val="00665F63"/>
    <w:rsid w:val="0066776E"/>
    <w:rsid w:val="006701A0"/>
    <w:rsid w:val="00671768"/>
    <w:rsid w:val="00671AE6"/>
    <w:rsid w:val="00672FEE"/>
    <w:rsid w:val="00673AD5"/>
    <w:rsid w:val="00677858"/>
    <w:rsid w:val="00680371"/>
    <w:rsid w:val="006811DF"/>
    <w:rsid w:val="006835AF"/>
    <w:rsid w:val="00684933"/>
    <w:rsid w:val="00684EDF"/>
    <w:rsid w:val="006863B9"/>
    <w:rsid w:val="00686771"/>
    <w:rsid w:val="0068711A"/>
    <w:rsid w:val="00690412"/>
    <w:rsid w:val="00690628"/>
    <w:rsid w:val="006932C7"/>
    <w:rsid w:val="006955D4"/>
    <w:rsid w:val="006976C9"/>
    <w:rsid w:val="00697C41"/>
    <w:rsid w:val="006A0928"/>
    <w:rsid w:val="006A12B3"/>
    <w:rsid w:val="006A14EA"/>
    <w:rsid w:val="006A1E39"/>
    <w:rsid w:val="006B2B70"/>
    <w:rsid w:val="006B2BF8"/>
    <w:rsid w:val="006B5701"/>
    <w:rsid w:val="006B6FEF"/>
    <w:rsid w:val="006B7AB8"/>
    <w:rsid w:val="006C132F"/>
    <w:rsid w:val="006C1BB7"/>
    <w:rsid w:val="006C6A9C"/>
    <w:rsid w:val="006C6D80"/>
    <w:rsid w:val="006D557F"/>
    <w:rsid w:val="006D607B"/>
    <w:rsid w:val="006D779F"/>
    <w:rsid w:val="006D78BB"/>
    <w:rsid w:val="006D7E31"/>
    <w:rsid w:val="006E4698"/>
    <w:rsid w:val="006E477E"/>
    <w:rsid w:val="006E5C32"/>
    <w:rsid w:val="006E6E2C"/>
    <w:rsid w:val="006E7B8B"/>
    <w:rsid w:val="006F19A0"/>
    <w:rsid w:val="006F1B15"/>
    <w:rsid w:val="006F2704"/>
    <w:rsid w:val="006F7034"/>
    <w:rsid w:val="00701E27"/>
    <w:rsid w:val="00701E32"/>
    <w:rsid w:val="007055D9"/>
    <w:rsid w:val="00705669"/>
    <w:rsid w:val="00706E08"/>
    <w:rsid w:val="00711701"/>
    <w:rsid w:val="00713CB1"/>
    <w:rsid w:val="00717003"/>
    <w:rsid w:val="0072067E"/>
    <w:rsid w:val="00723235"/>
    <w:rsid w:val="00723B0B"/>
    <w:rsid w:val="007242B7"/>
    <w:rsid w:val="00730B0B"/>
    <w:rsid w:val="00735856"/>
    <w:rsid w:val="0073637A"/>
    <w:rsid w:val="00737FFA"/>
    <w:rsid w:val="00740376"/>
    <w:rsid w:val="00743163"/>
    <w:rsid w:val="0074470D"/>
    <w:rsid w:val="007476FC"/>
    <w:rsid w:val="00747D81"/>
    <w:rsid w:val="00750890"/>
    <w:rsid w:val="00751B27"/>
    <w:rsid w:val="00751BDD"/>
    <w:rsid w:val="00754673"/>
    <w:rsid w:val="00760A80"/>
    <w:rsid w:val="007616FE"/>
    <w:rsid w:val="00763ED7"/>
    <w:rsid w:val="00764471"/>
    <w:rsid w:val="00765002"/>
    <w:rsid w:val="00765C84"/>
    <w:rsid w:val="00766386"/>
    <w:rsid w:val="00766DD3"/>
    <w:rsid w:val="007673FF"/>
    <w:rsid w:val="007706CB"/>
    <w:rsid w:val="007721FB"/>
    <w:rsid w:val="00773C26"/>
    <w:rsid w:val="00775230"/>
    <w:rsid w:val="007772D8"/>
    <w:rsid w:val="00777883"/>
    <w:rsid w:val="00780072"/>
    <w:rsid w:val="00782AD5"/>
    <w:rsid w:val="007832B8"/>
    <w:rsid w:val="00783C0D"/>
    <w:rsid w:val="00784315"/>
    <w:rsid w:val="007843D6"/>
    <w:rsid w:val="00784956"/>
    <w:rsid w:val="00787084"/>
    <w:rsid w:val="00792264"/>
    <w:rsid w:val="00793282"/>
    <w:rsid w:val="007939B0"/>
    <w:rsid w:val="00794237"/>
    <w:rsid w:val="00796E78"/>
    <w:rsid w:val="007975EA"/>
    <w:rsid w:val="007A57D2"/>
    <w:rsid w:val="007A5E08"/>
    <w:rsid w:val="007A5EF7"/>
    <w:rsid w:val="007A64F9"/>
    <w:rsid w:val="007A6E80"/>
    <w:rsid w:val="007B19DF"/>
    <w:rsid w:val="007B35AC"/>
    <w:rsid w:val="007B723A"/>
    <w:rsid w:val="007B7938"/>
    <w:rsid w:val="007C225D"/>
    <w:rsid w:val="007C6A88"/>
    <w:rsid w:val="007C6D10"/>
    <w:rsid w:val="007C7766"/>
    <w:rsid w:val="007D1421"/>
    <w:rsid w:val="007D1D59"/>
    <w:rsid w:val="007D2407"/>
    <w:rsid w:val="007D38A6"/>
    <w:rsid w:val="007D525A"/>
    <w:rsid w:val="007D5B42"/>
    <w:rsid w:val="007D6240"/>
    <w:rsid w:val="007D65DB"/>
    <w:rsid w:val="007E0A6E"/>
    <w:rsid w:val="007E0CA7"/>
    <w:rsid w:val="007E3FF9"/>
    <w:rsid w:val="007E409A"/>
    <w:rsid w:val="007E40CD"/>
    <w:rsid w:val="007E515A"/>
    <w:rsid w:val="007E6E21"/>
    <w:rsid w:val="007F22AB"/>
    <w:rsid w:val="007F237D"/>
    <w:rsid w:val="007F2847"/>
    <w:rsid w:val="007F4412"/>
    <w:rsid w:val="007F5F6A"/>
    <w:rsid w:val="00802FD7"/>
    <w:rsid w:val="008074D9"/>
    <w:rsid w:val="008118BE"/>
    <w:rsid w:val="00811912"/>
    <w:rsid w:val="00812348"/>
    <w:rsid w:val="00813884"/>
    <w:rsid w:val="00813EB5"/>
    <w:rsid w:val="008142F2"/>
    <w:rsid w:val="0081504F"/>
    <w:rsid w:val="008157B8"/>
    <w:rsid w:val="00815A58"/>
    <w:rsid w:val="00817108"/>
    <w:rsid w:val="00817F2F"/>
    <w:rsid w:val="00821538"/>
    <w:rsid w:val="0082303D"/>
    <w:rsid w:val="00823D1F"/>
    <w:rsid w:val="00826175"/>
    <w:rsid w:val="00831368"/>
    <w:rsid w:val="00831EE3"/>
    <w:rsid w:val="008339EA"/>
    <w:rsid w:val="00833FB6"/>
    <w:rsid w:val="00837639"/>
    <w:rsid w:val="00842925"/>
    <w:rsid w:val="00843515"/>
    <w:rsid w:val="00843975"/>
    <w:rsid w:val="00845B06"/>
    <w:rsid w:val="00847F47"/>
    <w:rsid w:val="00851A4E"/>
    <w:rsid w:val="00852B32"/>
    <w:rsid w:val="00853308"/>
    <w:rsid w:val="00853BBE"/>
    <w:rsid w:val="00857BC1"/>
    <w:rsid w:val="008602DE"/>
    <w:rsid w:val="0086180E"/>
    <w:rsid w:val="00861CC3"/>
    <w:rsid w:val="00862D79"/>
    <w:rsid w:val="00863971"/>
    <w:rsid w:val="00864356"/>
    <w:rsid w:val="00865B30"/>
    <w:rsid w:val="00866537"/>
    <w:rsid w:val="0087020F"/>
    <w:rsid w:val="008709A5"/>
    <w:rsid w:val="00872EFC"/>
    <w:rsid w:val="00874A64"/>
    <w:rsid w:val="00875BDF"/>
    <w:rsid w:val="00875D28"/>
    <w:rsid w:val="00881CCA"/>
    <w:rsid w:val="00881EE3"/>
    <w:rsid w:val="00882CF2"/>
    <w:rsid w:val="00886A88"/>
    <w:rsid w:val="008877EB"/>
    <w:rsid w:val="00887876"/>
    <w:rsid w:val="00887E15"/>
    <w:rsid w:val="00890D85"/>
    <w:rsid w:val="0089101C"/>
    <w:rsid w:val="0089104E"/>
    <w:rsid w:val="0089136E"/>
    <w:rsid w:val="008938B7"/>
    <w:rsid w:val="00893D65"/>
    <w:rsid w:val="00894812"/>
    <w:rsid w:val="00894993"/>
    <w:rsid w:val="00896059"/>
    <w:rsid w:val="008968D4"/>
    <w:rsid w:val="00896A95"/>
    <w:rsid w:val="008A2669"/>
    <w:rsid w:val="008A3F4B"/>
    <w:rsid w:val="008A5631"/>
    <w:rsid w:val="008A7E1E"/>
    <w:rsid w:val="008B0453"/>
    <w:rsid w:val="008B169B"/>
    <w:rsid w:val="008B5871"/>
    <w:rsid w:val="008B58B0"/>
    <w:rsid w:val="008C06C0"/>
    <w:rsid w:val="008C20DC"/>
    <w:rsid w:val="008C5680"/>
    <w:rsid w:val="008C6E1D"/>
    <w:rsid w:val="008C720F"/>
    <w:rsid w:val="008D026A"/>
    <w:rsid w:val="008D385C"/>
    <w:rsid w:val="008E058C"/>
    <w:rsid w:val="008E3365"/>
    <w:rsid w:val="008E4209"/>
    <w:rsid w:val="008E4602"/>
    <w:rsid w:val="008E532E"/>
    <w:rsid w:val="008E6027"/>
    <w:rsid w:val="008F10A6"/>
    <w:rsid w:val="008F424C"/>
    <w:rsid w:val="008F4DA6"/>
    <w:rsid w:val="008F4E32"/>
    <w:rsid w:val="009003B1"/>
    <w:rsid w:val="0090049A"/>
    <w:rsid w:val="00901744"/>
    <w:rsid w:val="009018DD"/>
    <w:rsid w:val="00905D53"/>
    <w:rsid w:val="009118CC"/>
    <w:rsid w:val="00915436"/>
    <w:rsid w:val="009163D5"/>
    <w:rsid w:val="00917AED"/>
    <w:rsid w:val="00917C32"/>
    <w:rsid w:val="00917D9C"/>
    <w:rsid w:val="00917F07"/>
    <w:rsid w:val="0092033D"/>
    <w:rsid w:val="0092145C"/>
    <w:rsid w:val="00921EA0"/>
    <w:rsid w:val="00924C23"/>
    <w:rsid w:val="00925B07"/>
    <w:rsid w:val="0092601E"/>
    <w:rsid w:val="00926392"/>
    <w:rsid w:val="009268F2"/>
    <w:rsid w:val="0092744E"/>
    <w:rsid w:val="00931911"/>
    <w:rsid w:val="00931A87"/>
    <w:rsid w:val="00931DF5"/>
    <w:rsid w:val="009370AD"/>
    <w:rsid w:val="0093722D"/>
    <w:rsid w:val="0094125D"/>
    <w:rsid w:val="0094251D"/>
    <w:rsid w:val="0095099B"/>
    <w:rsid w:val="00951E4A"/>
    <w:rsid w:val="0095339C"/>
    <w:rsid w:val="009554F5"/>
    <w:rsid w:val="00960308"/>
    <w:rsid w:val="0096092F"/>
    <w:rsid w:val="00960FE8"/>
    <w:rsid w:val="00964857"/>
    <w:rsid w:val="0096578D"/>
    <w:rsid w:val="00970741"/>
    <w:rsid w:val="00971353"/>
    <w:rsid w:val="009720A1"/>
    <w:rsid w:val="00973745"/>
    <w:rsid w:val="009758FE"/>
    <w:rsid w:val="0097670C"/>
    <w:rsid w:val="00980455"/>
    <w:rsid w:val="0098128D"/>
    <w:rsid w:val="00984E70"/>
    <w:rsid w:val="00985ABE"/>
    <w:rsid w:val="009868C1"/>
    <w:rsid w:val="00986A09"/>
    <w:rsid w:val="00986B56"/>
    <w:rsid w:val="00987371"/>
    <w:rsid w:val="00987F3D"/>
    <w:rsid w:val="00991EC5"/>
    <w:rsid w:val="00992A59"/>
    <w:rsid w:val="00992B45"/>
    <w:rsid w:val="00992E3C"/>
    <w:rsid w:val="00993CE7"/>
    <w:rsid w:val="009942B5"/>
    <w:rsid w:val="0099474C"/>
    <w:rsid w:val="00994907"/>
    <w:rsid w:val="009951C0"/>
    <w:rsid w:val="0099686B"/>
    <w:rsid w:val="009973E0"/>
    <w:rsid w:val="009B11CA"/>
    <w:rsid w:val="009B3814"/>
    <w:rsid w:val="009B3ECF"/>
    <w:rsid w:val="009B7A61"/>
    <w:rsid w:val="009B7F6F"/>
    <w:rsid w:val="009C1535"/>
    <w:rsid w:val="009C3894"/>
    <w:rsid w:val="009C693E"/>
    <w:rsid w:val="009D1777"/>
    <w:rsid w:val="009D2A9C"/>
    <w:rsid w:val="009D51A0"/>
    <w:rsid w:val="009D5EDF"/>
    <w:rsid w:val="009D6B9C"/>
    <w:rsid w:val="009E0CC5"/>
    <w:rsid w:val="009E18CB"/>
    <w:rsid w:val="009E2216"/>
    <w:rsid w:val="009E2960"/>
    <w:rsid w:val="009E38CC"/>
    <w:rsid w:val="009E4C54"/>
    <w:rsid w:val="009E5E8B"/>
    <w:rsid w:val="009E6908"/>
    <w:rsid w:val="009F1866"/>
    <w:rsid w:val="009F1EC4"/>
    <w:rsid w:val="009F1F64"/>
    <w:rsid w:val="009F4158"/>
    <w:rsid w:val="009F542D"/>
    <w:rsid w:val="009F54AC"/>
    <w:rsid w:val="009F78C2"/>
    <w:rsid w:val="00A035DF"/>
    <w:rsid w:val="00A046A6"/>
    <w:rsid w:val="00A04EFA"/>
    <w:rsid w:val="00A07F3E"/>
    <w:rsid w:val="00A12D46"/>
    <w:rsid w:val="00A12E42"/>
    <w:rsid w:val="00A12FBE"/>
    <w:rsid w:val="00A13CA0"/>
    <w:rsid w:val="00A15F13"/>
    <w:rsid w:val="00A17F0A"/>
    <w:rsid w:val="00A207F3"/>
    <w:rsid w:val="00A216BB"/>
    <w:rsid w:val="00A22017"/>
    <w:rsid w:val="00A23F02"/>
    <w:rsid w:val="00A26C14"/>
    <w:rsid w:val="00A26D9C"/>
    <w:rsid w:val="00A31171"/>
    <w:rsid w:val="00A312B0"/>
    <w:rsid w:val="00A31CAA"/>
    <w:rsid w:val="00A326F6"/>
    <w:rsid w:val="00A343D6"/>
    <w:rsid w:val="00A35C30"/>
    <w:rsid w:val="00A3618C"/>
    <w:rsid w:val="00A41328"/>
    <w:rsid w:val="00A429F8"/>
    <w:rsid w:val="00A44ECB"/>
    <w:rsid w:val="00A4509F"/>
    <w:rsid w:val="00A47BDA"/>
    <w:rsid w:val="00A51602"/>
    <w:rsid w:val="00A524D0"/>
    <w:rsid w:val="00A52D73"/>
    <w:rsid w:val="00A5421D"/>
    <w:rsid w:val="00A556E9"/>
    <w:rsid w:val="00A575B6"/>
    <w:rsid w:val="00A60061"/>
    <w:rsid w:val="00A60229"/>
    <w:rsid w:val="00A60A1E"/>
    <w:rsid w:val="00A6250B"/>
    <w:rsid w:val="00A6493B"/>
    <w:rsid w:val="00A64946"/>
    <w:rsid w:val="00A64E4E"/>
    <w:rsid w:val="00A67674"/>
    <w:rsid w:val="00A7286A"/>
    <w:rsid w:val="00A72EA4"/>
    <w:rsid w:val="00A75B19"/>
    <w:rsid w:val="00A76008"/>
    <w:rsid w:val="00A762EB"/>
    <w:rsid w:val="00A7640D"/>
    <w:rsid w:val="00A807A7"/>
    <w:rsid w:val="00A807DD"/>
    <w:rsid w:val="00A8172C"/>
    <w:rsid w:val="00A85DE0"/>
    <w:rsid w:val="00A860E3"/>
    <w:rsid w:val="00A9119A"/>
    <w:rsid w:val="00A9156B"/>
    <w:rsid w:val="00A91B51"/>
    <w:rsid w:val="00A95DFC"/>
    <w:rsid w:val="00A96CB7"/>
    <w:rsid w:val="00A9778F"/>
    <w:rsid w:val="00AA006F"/>
    <w:rsid w:val="00AA2D27"/>
    <w:rsid w:val="00AA3701"/>
    <w:rsid w:val="00AA3E44"/>
    <w:rsid w:val="00AA4EA2"/>
    <w:rsid w:val="00AA64BC"/>
    <w:rsid w:val="00AA7319"/>
    <w:rsid w:val="00AA7378"/>
    <w:rsid w:val="00AB26FD"/>
    <w:rsid w:val="00AB2828"/>
    <w:rsid w:val="00AB4508"/>
    <w:rsid w:val="00AB4621"/>
    <w:rsid w:val="00AB479F"/>
    <w:rsid w:val="00AB53F6"/>
    <w:rsid w:val="00AC13D0"/>
    <w:rsid w:val="00AC1B90"/>
    <w:rsid w:val="00AC24C6"/>
    <w:rsid w:val="00AC46DF"/>
    <w:rsid w:val="00AD3D7B"/>
    <w:rsid w:val="00AD5158"/>
    <w:rsid w:val="00AD5A4A"/>
    <w:rsid w:val="00AD77E2"/>
    <w:rsid w:val="00AE0B41"/>
    <w:rsid w:val="00AE1292"/>
    <w:rsid w:val="00AE267F"/>
    <w:rsid w:val="00AE35CD"/>
    <w:rsid w:val="00AE6937"/>
    <w:rsid w:val="00AE70CA"/>
    <w:rsid w:val="00AE725B"/>
    <w:rsid w:val="00AE7584"/>
    <w:rsid w:val="00AF1AD0"/>
    <w:rsid w:val="00AF27C6"/>
    <w:rsid w:val="00B00B01"/>
    <w:rsid w:val="00B014FD"/>
    <w:rsid w:val="00B036C7"/>
    <w:rsid w:val="00B068A3"/>
    <w:rsid w:val="00B06FF3"/>
    <w:rsid w:val="00B1067D"/>
    <w:rsid w:val="00B11312"/>
    <w:rsid w:val="00B11C7C"/>
    <w:rsid w:val="00B11D95"/>
    <w:rsid w:val="00B11EAB"/>
    <w:rsid w:val="00B12422"/>
    <w:rsid w:val="00B131AC"/>
    <w:rsid w:val="00B13ECC"/>
    <w:rsid w:val="00B175C9"/>
    <w:rsid w:val="00B25DC6"/>
    <w:rsid w:val="00B35DA3"/>
    <w:rsid w:val="00B35DE7"/>
    <w:rsid w:val="00B405D1"/>
    <w:rsid w:val="00B45EA2"/>
    <w:rsid w:val="00B46FD5"/>
    <w:rsid w:val="00B47395"/>
    <w:rsid w:val="00B508E6"/>
    <w:rsid w:val="00B510FF"/>
    <w:rsid w:val="00B51417"/>
    <w:rsid w:val="00B52BFD"/>
    <w:rsid w:val="00B562CB"/>
    <w:rsid w:val="00B60700"/>
    <w:rsid w:val="00B648B0"/>
    <w:rsid w:val="00B64C37"/>
    <w:rsid w:val="00B65288"/>
    <w:rsid w:val="00B65E6D"/>
    <w:rsid w:val="00B67090"/>
    <w:rsid w:val="00B72149"/>
    <w:rsid w:val="00B8070D"/>
    <w:rsid w:val="00B81164"/>
    <w:rsid w:val="00B81637"/>
    <w:rsid w:val="00B84181"/>
    <w:rsid w:val="00B85EC2"/>
    <w:rsid w:val="00B85F14"/>
    <w:rsid w:val="00B86999"/>
    <w:rsid w:val="00B9259A"/>
    <w:rsid w:val="00B9259F"/>
    <w:rsid w:val="00B92EC9"/>
    <w:rsid w:val="00B954A7"/>
    <w:rsid w:val="00B95E25"/>
    <w:rsid w:val="00B96D76"/>
    <w:rsid w:val="00BA0C80"/>
    <w:rsid w:val="00BA2283"/>
    <w:rsid w:val="00BA3C47"/>
    <w:rsid w:val="00BA7A21"/>
    <w:rsid w:val="00BB0B84"/>
    <w:rsid w:val="00BB0C0D"/>
    <w:rsid w:val="00BB1B7F"/>
    <w:rsid w:val="00BB47ED"/>
    <w:rsid w:val="00BB637E"/>
    <w:rsid w:val="00BB6CC0"/>
    <w:rsid w:val="00BC182F"/>
    <w:rsid w:val="00BC1A29"/>
    <w:rsid w:val="00BC241D"/>
    <w:rsid w:val="00BC3DE8"/>
    <w:rsid w:val="00BD0042"/>
    <w:rsid w:val="00BD059E"/>
    <w:rsid w:val="00BD20D8"/>
    <w:rsid w:val="00BD23EE"/>
    <w:rsid w:val="00BD4AEC"/>
    <w:rsid w:val="00BD63A2"/>
    <w:rsid w:val="00BD661F"/>
    <w:rsid w:val="00BD7F91"/>
    <w:rsid w:val="00BE0C64"/>
    <w:rsid w:val="00BE2127"/>
    <w:rsid w:val="00BE29F3"/>
    <w:rsid w:val="00BE4344"/>
    <w:rsid w:val="00BE77D1"/>
    <w:rsid w:val="00BF0602"/>
    <w:rsid w:val="00BF12DF"/>
    <w:rsid w:val="00BF1933"/>
    <w:rsid w:val="00BF5BA5"/>
    <w:rsid w:val="00C005F4"/>
    <w:rsid w:val="00C02B3B"/>
    <w:rsid w:val="00C03703"/>
    <w:rsid w:val="00C044B3"/>
    <w:rsid w:val="00C04580"/>
    <w:rsid w:val="00C05D2A"/>
    <w:rsid w:val="00C06A05"/>
    <w:rsid w:val="00C06F4C"/>
    <w:rsid w:val="00C10E14"/>
    <w:rsid w:val="00C140BE"/>
    <w:rsid w:val="00C14D35"/>
    <w:rsid w:val="00C16F9C"/>
    <w:rsid w:val="00C20635"/>
    <w:rsid w:val="00C209BD"/>
    <w:rsid w:val="00C221E9"/>
    <w:rsid w:val="00C245D7"/>
    <w:rsid w:val="00C24ECC"/>
    <w:rsid w:val="00C266D5"/>
    <w:rsid w:val="00C26A39"/>
    <w:rsid w:val="00C278B3"/>
    <w:rsid w:val="00C318A3"/>
    <w:rsid w:val="00C329D1"/>
    <w:rsid w:val="00C331AA"/>
    <w:rsid w:val="00C3370F"/>
    <w:rsid w:val="00C36EAB"/>
    <w:rsid w:val="00C40443"/>
    <w:rsid w:val="00C41C42"/>
    <w:rsid w:val="00C41F67"/>
    <w:rsid w:val="00C43EA3"/>
    <w:rsid w:val="00C478C7"/>
    <w:rsid w:val="00C47B9A"/>
    <w:rsid w:val="00C50372"/>
    <w:rsid w:val="00C50FBD"/>
    <w:rsid w:val="00C5158D"/>
    <w:rsid w:val="00C526CD"/>
    <w:rsid w:val="00C53E30"/>
    <w:rsid w:val="00C54B8C"/>
    <w:rsid w:val="00C61DE7"/>
    <w:rsid w:val="00C63878"/>
    <w:rsid w:val="00C660F1"/>
    <w:rsid w:val="00C7080D"/>
    <w:rsid w:val="00C70F5C"/>
    <w:rsid w:val="00C717BC"/>
    <w:rsid w:val="00C718EC"/>
    <w:rsid w:val="00C720FD"/>
    <w:rsid w:val="00C722C5"/>
    <w:rsid w:val="00C73309"/>
    <w:rsid w:val="00C75827"/>
    <w:rsid w:val="00C771FA"/>
    <w:rsid w:val="00C86D24"/>
    <w:rsid w:val="00C90434"/>
    <w:rsid w:val="00C95048"/>
    <w:rsid w:val="00C959DA"/>
    <w:rsid w:val="00C96A79"/>
    <w:rsid w:val="00CA3796"/>
    <w:rsid w:val="00CA473F"/>
    <w:rsid w:val="00CA56D0"/>
    <w:rsid w:val="00CA6924"/>
    <w:rsid w:val="00CB0D20"/>
    <w:rsid w:val="00CB1D8E"/>
    <w:rsid w:val="00CB4B59"/>
    <w:rsid w:val="00CB6129"/>
    <w:rsid w:val="00CB6428"/>
    <w:rsid w:val="00CB7159"/>
    <w:rsid w:val="00CB7480"/>
    <w:rsid w:val="00CC0F41"/>
    <w:rsid w:val="00CC2105"/>
    <w:rsid w:val="00CC2945"/>
    <w:rsid w:val="00CC4C41"/>
    <w:rsid w:val="00CC5601"/>
    <w:rsid w:val="00CC6780"/>
    <w:rsid w:val="00CD1768"/>
    <w:rsid w:val="00CD181B"/>
    <w:rsid w:val="00CD1A44"/>
    <w:rsid w:val="00CD1C2F"/>
    <w:rsid w:val="00CD48CE"/>
    <w:rsid w:val="00CD4E04"/>
    <w:rsid w:val="00CE0BE9"/>
    <w:rsid w:val="00CE4EAA"/>
    <w:rsid w:val="00CE66FE"/>
    <w:rsid w:val="00CE6F9B"/>
    <w:rsid w:val="00CE7802"/>
    <w:rsid w:val="00CF09BC"/>
    <w:rsid w:val="00CF148B"/>
    <w:rsid w:val="00CF3C29"/>
    <w:rsid w:val="00CF4508"/>
    <w:rsid w:val="00CF632D"/>
    <w:rsid w:val="00CF7AF6"/>
    <w:rsid w:val="00CF7E94"/>
    <w:rsid w:val="00D00D06"/>
    <w:rsid w:val="00D03123"/>
    <w:rsid w:val="00D0466B"/>
    <w:rsid w:val="00D10755"/>
    <w:rsid w:val="00D1159B"/>
    <w:rsid w:val="00D11CAB"/>
    <w:rsid w:val="00D11D37"/>
    <w:rsid w:val="00D150E8"/>
    <w:rsid w:val="00D17431"/>
    <w:rsid w:val="00D17E00"/>
    <w:rsid w:val="00D213AF"/>
    <w:rsid w:val="00D22F35"/>
    <w:rsid w:val="00D246EB"/>
    <w:rsid w:val="00D25E8E"/>
    <w:rsid w:val="00D25F1F"/>
    <w:rsid w:val="00D27621"/>
    <w:rsid w:val="00D303E6"/>
    <w:rsid w:val="00D30A89"/>
    <w:rsid w:val="00D3203C"/>
    <w:rsid w:val="00D331F9"/>
    <w:rsid w:val="00D37014"/>
    <w:rsid w:val="00D409F5"/>
    <w:rsid w:val="00D40CD3"/>
    <w:rsid w:val="00D420B1"/>
    <w:rsid w:val="00D43297"/>
    <w:rsid w:val="00D43462"/>
    <w:rsid w:val="00D43C55"/>
    <w:rsid w:val="00D43DB4"/>
    <w:rsid w:val="00D50AD8"/>
    <w:rsid w:val="00D527B4"/>
    <w:rsid w:val="00D60172"/>
    <w:rsid w:val="00D60591"/>
    <w:rsid w:val="00D60ECC"/>
    <w:rsid w:val="00D62869"/>
    <w:rsid w:val="00D62DE2"/>
    <w:rsid w:val="00D63C1F"/>
    <w:rsid w:val="00D655C0"/>
    <w:rsid w:val="00D66D73"/>
    <w:rsid w:val="00D67318"/>
    <w:rsid w:val="00D70012"/>
    <w:rsid w:val="00D712BF"/>
    <w:rsid w:val="00D72955"/>
    <w:rsid w:val="00D73E8F"/>
    <w:rsid w:val="00D754B7"/>
    <w:rsid w:val="00D80442"/>
    <w:rsid w:val="00D819A8"/>
    <w:rsid w:val="00D8304E"/>
    <w:rsid w:val="00D92C35"/>
    <w:rsid w:val="00D93554"/>
    <w:rsid w:val="00D94882"/>
    <w:rsid w:val="00D97DBD"/>
    <w:rsid w:val="00DA05D3"/>
    <w:rsid w:val="00DA2D65"/>
    <w:rsid w:val="00DA2DB1"/>
    <w:rsid w:val="00DA5595"/>
    <w:rsid w:val="00DA5DAA"/>
    <w:rsid w:val="00DA6114"/>
    <w:rsid w:val="00DB03B0"/>
    <w:rsid w:val="00DB1A99"/>
    <w:rsid w:val="00DB1B4E"/>
    <w:rsid w:val="00DB2175"/>
    <w:rsid w:val="00DB27EF"/>
    <w:rsid w:val="00DB340C"/>
    <w:rsid w:val="00DB417E"/>
    <w:rsid w:val="00DB64BB"/>
    <w:rsid w:val="00DC1753"/>
    <w:rsid w:val="00DC2433"/>
    <w:rsid w:val="00DC34DA"/>
    <w:rsid w:val="00DD0334"/>
    <w:rsid w:val="00DD0CE1"/>
    <w:rsid w:val="00DD101C"/>
    <w:rsid w:val="00DD545F"/>
    <w:rsid w:val="00DD7008"/>
    <w:rsid w:val="00DD7EB6"/>
    <w:rsid w:val="00DD7FD5"/>
    <w:rsid w:val="00DE04B6"/>
    <w:rsid w:val="00DE1AE2"/>
    <w:rsid w:val="00DE21F4"/>
    <w:rsid w:val="00DE2886"/>
    <w:rsid w:val="00DE2D3F"/>
    <w:rsid w:val="00DE68B8"/>
    <w:rsid w:val="00DF00FC"/>
    <w:rsid w:val="00DF0701"/>
    <w:rsid w:val="00DF1C03"/>
    <w:rsid w:val="00DF4C73"/>
    <w:rsid w:val="00DF667A"/>
    <w:rsid w:val="00DF689D"/>
    <w:rsid w:val="00DF776E"/>
    <w:rsid w:val="00DF7C2B"/>
    <w:rsid w:val="00E02B51"/>
    <w:rsid w:val="00E02CB5"/>
    <w:rsid w:val="00E03A90"/>
    <w:rsid w:val="00E07F05"/>
    <w:rsid w:val="00E10666"/>
    <w:rsid w:val="00E10689"/>
    <w:rsid w:val="00E10BFB"/>
    <w:rsid w:val="00E10E1E"/>
    <w:rsid w:val="00E10F49"/>
    <w:rsid w:val="00E13CD6"/>
    <w:rsid w:val="00E1637E"/>
    <w:rsid w:val="00E167DC"/>
    <w:rsid w:val="00E17C90"/>
    <w:rsid w:val="00E2089B"/>
    <w:rsid w:val="00E212A7"/>
    <w:rsid w:val="00E2173C"/>
    <w:rsid w:val="00E255A5"/>
    <w:rsid w:val="00E25613"/>
    <w:rsid w:val="00E25906"/>
    <w:rsid w:val="00E25F01"/>
    <w:rsid w:val="00E2604E"/>
    <w:rsid w:val="00E267FE"/>
    <w:rsid w:val="00E2757B"/>
    <w:rsid w:val="00E32913"/>
    <w:rsid w:val="00E332EE"/>
    <w:rsid w:val="00E33A2C"/>
    <w:rsid w:val="00E374AB"/>
    <w:rsid w:val="00E40790"/>
    <w:rsid w:val="00E40C8C"/>
    <w:rsid w:val="00E41DBE"/>
    <w:rsid w:val="00E420DC"/>
    <w:rsid w:val="00E5053E"/>
    <w:rsid w:val="00E51493"/>
    <w:rsid w:val="00E5267F"/>
    <w:rsid w:val="00E54950"/>
    <w:rsid w:val="00E55C8C"/>
    <w:rsid w:val="00E60246"/>
    <w:rsid w:val="00E60ECC"/>
    <w:rsid w:val="00E62322"/>
    <w:rsid w:val="00E649F9"/>
    <w:rsid w:val="00E67D3A"/>
    <w:rsid w:val="00E72AEF"/>
    <w:rsid w:val="00E72C19"/>
    <w:rsid w:val="00E74242"/>
    <w:rsid w:val="00E752DD"/>
    <w:rsid w:val="00E7588E"/>
    <w:rsid w:val="00E77438"/>
    <w:rsid w:val="00E83108"/>
    <w:rsid w:val="00E833E1"/>
    <w:rsid w:val="00E86DF3"/>
    <w:rsid w:val="00E87691"/>
    <w:rsid w:val="00E9126B"/>
    <w:rsid w:val="00E925BB"/>
    <w:rsid w:val="00E94E7F"/>
    <w:rsid w:val="00E95619"/>
    <w:rsid w:val="00E961A3"/>
    <w:rsid w:val="00E9769A"/>
    <w:rsid w:val="00EA0BC3"/>
    <w:rsid w:val="00EA3F71"/>
    <w:rsid w:val="00EA4E7C"/>
    <w:rsid w:val="00EA4FA6"/>
    <w:rsid w:val="00EA5774"/>
    <w:rsid w:val="00EA6D04"/>
    <w:rsid w:val="00EB354C"/>
    <w:rsid w:val="00EB51B6"/>
    <w:rsid w:val="00EB6D07"/>
    <w:rsid w:val="00EC2476"/>
    <w:rsid w:val="00EC75A0"/>
    <w:rsid w:val="00ED0CDF"/>
    <w:rsid w:val="00ED1B3D"/>
    <w:rsid w:val="00ED33A7"/>
    <w:rsid w:val="00ED43FC"/>
    <w:rsid w:val="00ED4AF0"/>
    <w:rsid w:val="00ED4D94"/>
    <w:rsid w:val="00ED4E18"/>
    <w:rsid w:val="00ED5DE2"/>
    <w:rsid w:val="00ED7C14"/>
    <w:rsid w:val="00EE08B3"/>
    <w:rsid w:val="00EE0EF1"/>
    <w:rsid w:val="00EE4762"/>
    <w:rsid w:val="00EF063C"/>
    <w:rsid w:val="00EF1575"/>
    <w:rsid w:val="00EF5A3B"/>
    <w:rsid w:val="00EF6259"/>
    <w:rsid w:val="00EF7194"/>
    <w:rsid w:val="00F05338"/>
    <w:rsid w:val="00F0694E"/>
    <w:rsid w:val="00F07A14"/>
    <w:rsid w:val="00F15D2D"/>
    <w:rsid w:val="00F170DE"/>
    <w:rsid w:val="00F208AE"/>
    <w:rsid w:val="00F21D00"/>
    <w:rsid w:val="00F23C51"/>
    <w:rsid w:val="00F26E6D"/>
    <w:rsid w:val="00F30CEE"/>
    <w:rsid w:val="00F31EE7"/>
    <w:rsid w:val="00F31F32"/>
    <w:rsid w:val="00F320E6"/>
    <w:rsid w:val="00F32C30"/>
    <w:rsid w:val="00F32CF6"/>
    <w:rsid w:val="00F3395F"/>
    <w:rsid w:val="00F377EE"/>
    <w:rsid w:val="00F40091"/>
    <w:rsid w:val="00F401A3"/>
    <w:rsid w:val="00F40BB4"/>
    <w:rsid w:val="00F41A49"/>
    <w:rsid w:val="00F42AB0"/>
    <w:rsid w:val="00F42BA8"/>
    <w:rsid w:val="00F44186"/>
    <w:rsid w:val="00F46CB0"/>
    <w:rsid w:val="00F514EE"/>
    <w:rsid w:val="00F528B4"/>
    <w:rsid w:val="00F530ED"/>
    <w:rsid w:val="00F54453"/>
    <w:rsid w:val="00F54B31"/>
    <w:rsid w:val="00F5667F"/>
    <w:rsid w:val="00F57ECE"/>
    <w:rsid w:val="00F65367"/>
    <w:rsid w:val="00F6752C"/>
    <w:rsid w:val="00F67B8A"/>
    <w:rsid w:val="00F707C0"/>
    <w:rsid w:val="00F71314"/>
    <w:rsid w:val="00F719A2"/>
    <w:rsid w:val="00F72188"/>
    <w:rsid w:val="00F73820"/>
    <w:rsid w:val="00F73D78"/>
    <w:rsid w:val="00F750A4"/>
    <w:rsid w:val="00F759F9"/>
    <w:rsid w:val="00F76115"/>
    <w:rsid w:val="00F80CAF"/>
    <w:rsid w:val="00F82717"/>
    <w:rsid w:val="00F84C78"/>
    <w:rsid w:val="00F86CA4"/>
    <w:rsid w:val="00F87DB5"/>
    <w:rsid w:val="00F91DDC"/>
    <w:rsid w:val="00F92196"/>
    <w:rsid w:val="00F92AB2"/>
    <w:rsid w:val="00F93716"/>
    <w:rsid w:val="00F9535F"/>
    <w:rsid w:val="00F978D0"/>
    <w:rsid w:val="00F97F73"/>
    <w:rsid w:val="00FA1EFA"/>
    <w:rsid w:val="00FA4EE1"/>
    <w:rsid w:val="00FA54D8"/>
    <w:rsid w:val="00FB0B8D"/>
    <w:rsid w:val="00FB1178"/>
    <w:rsid w:val="00FB2CF3"/>
    <w:rsid w:val="00FB4F33"/>
    <w:rsid w:val="00FB763B"/>
    <w:rsid w:val="00FC166E"/>
    <w:rsid w:val="00FC1FA0"/>
    <w:rsid w:val="00FC20B4"/>
    <w:rsid w:val="00FD023D"/>
    <w:rsid w:val="00FD161C"/>
    <w:rsid w:val="00FD1A76"/>
    <w:rsid w:val="00FD45B0"/>
    <w:rsid w:val="00FD4F80"/>
    <w:rsid w:val="00FD5A4F"/>
    <w:rsid w:val="00FD63C9"/>
    <w:rsid w:val="00FD6BED"/>
    <w:rsid w:val="00FD71FA"/>
    <w:rsid w:val="00FE119C"/>
    <w:rsid w:val="00FE1233"/>
    <w:rsid w:val="00FE1245"/>
    <w:rsid w:val="00FE1F2A"/>
    <w:rsid w:val="00FE4929"/>
    <w:rsid w:val="00FE657B"/>
    <w:rsid w:val="00FE6F11"/>
    <w:rsid w:val="00FF0693"/>
    <w:rsid w:val="00FF08BB"/>
    <w:rsid w:val="00FF1296"/>
    <w:rsid w:val="00FF1EC0"/>
    <w:rsid w:val="00FF4A5C"/>
    <w:rsid w:val="00FF4CB6"/>
    <w:rsid w:val="00FF5494"/>
    <w:rsid w:val="00FF61ED"/>
    <w:rsid w:val="00FF64B0"/>
    <w:rsid w:val="00FF74F8"/>
    <w:rsid w:val="0D4947E9"/>
    <w:rsid w:val="47A249A2"/>
    <w:rsid w:val="4AD72226"/>
    <w:rsid w:val="61FB0BD9"/>
    <w:rsid w:val="6E840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2"/>
    <w:qFormat/>
    <w:uiPriority w:val="0"/>
    <w:pPr>
      <w:keepNext/>
      <w:keepLines/>
      <w:tabs>
        <w:tab w:val="left" w:pos="3199"/>
      </w:tabs>
      <w:spacing w:before="340" w:after="330" w:line="578" w:lineRule="auto"/>
      <w:ind w:left="3199" w:hanging="720"/>
      <w:outlineLvl w:val="0"/>
    </w:pPr>
    <w:rPr>
      <w:rFonts w:ascii="Times New Roman" w:hAnsi="Times New Roman" w:cs="Times New Roman"/>
      <w:b/>
      <w:bCs/>
      <w:kern w:val="44"/>
      <w:sz w:val="44"/>
      <w:szCs w:val="44"/>
    </w:rPr>
  </w:style>
  <w:style w:type="paragraph" w:styleId="3">
    <w:name w:val="heading 2"/>
    <w:basedOn w:val="1"/>
    <w:next w:val="1"/>
    <w:link w:val="13"/>
    <w:qFormat/>
    <w:uiPriority w:val="0"/>
    <w:pPr>
      <w:keepNext/>
      <w:keepLines/>
      <w:tabs>
        <w:tab w:val="left" w:pos="1440"/>
      </w:tabs>
      <w:spacing w:before="260" w:after="260" w:line="416" w:lineRule="auto"/>
      <w:ind w:left="1440" w:hanging="360"/>
      <w:outlineLvl w:val="1"/>
    </w:pPr>
    <w:rPr>
      <w:rFonts w:ascii="Arial" w:hAnsi="Arial" w:eastAsia="黑体" w:cs="Times New Roman"/>
      <w:b/>
      <w:bCs/>
      <w:sz w:val="32"/>
      <w:szCs w:val="32"/>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Document Map"/>
    <w:basedOn w:val="1"/>
    <w:link w:val="17"/>
    <w:qFormat/>
    <w:uiPriority w:val="0"/>
    <w:rPr>
      <w:rFonts w:ascii="宋体"/>
      <w:sz w:val="18"/>
      <w:szCs w:val="18"/>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0">
    <w:name w:val="page number"/>
    <w:basedOn w:val="9"/>
    <w:qFormat/>
    <w:uiPriority w:val="0"/>
  </w:style>
  <w:style w:type="character" w:customStyle="1" w:styleId="12">
    <w:name w:val="标题 1 Char"/>
    <w:link w:val="2"/>
    <w:qFormat/>
    <w:uiPriority w:val="0"/>
    <w:rPr>
      <w:b/>
      <w:bCs/>
      <w:kern w:val="44"/>
      <w:sz w:val="44"/>
      <w:szCs w:val="44"/>
    </w:rPr>
  </w:style>
  <w:style w:type="character" w:customStyle="1" w:styleId="13">
    <w:name w:val="标题 2 Char"/>
    <w:link w:val="3"/>
    <w:qFormat/>
    <w:uiPriority w:val="0"/>
    <w:rPr>
      <w:rFonts w:ascii="Arial" w:hAnsi="Arial" w:eastAsia="黑体"/>
      <w:b/>
      <w:bCs/>
      <w:kern w:val="2"/>
      <w:sz w:val="32"/>
      <w:szCs w:val="32"/>
    </w:rPr>
  </w:style>
  <w:style w:type="character" w:customStyle="1" w:styleId="14">
    <w:name w:val="jq4图片注释 Char"/>
    <w:link w:val="15"/>
    <w:qFormat/>
    <w:uiPriority w:val="0"/>
    <w:rPr>
      <w:rFonts w:eastAsia="Times New Roman"/>
      <w:sz w:val="18"/>
      <w:szCs w:val="24"/>
      <w:lang w:val="en-US" w:eastAsia="zh-CN" w:bidi="ar-SA"/>
    </w:rPr>
  </w:style>
  <w:style w:type="paragraph" w:customStyle="1" w:styleId="15">
    <w:name w:val="jq4图片注释"/>
    <w:next w:val="1"/>
    <w:link w:val="14"/>
    <w:qFormat/>
    <w:uiPriority w:val="0"/>
    <w:pPr>
      <w:spacing w:before="20" w:after="50" w:line="300" w:lineRule="auto"/>
      <w:ind w:firstLine="200"/>
      <w:jc w:val="center"/>
    </w:pPr>
    <w:rPr>
      <w:rFonts w:ascii="Times New Roman" w:hAnsi="Times New Roman" w:eastAsia="Times New Roman" w:cs="Times New Roman"/>
      <w:sz w:val="18"/>
      <w:szCs w:val="24"/>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7">
    <w:name w:val="文档结构图 Char"/>
    <w:basedOn w:val="9"/>
    <w:link w:val="4"/>
    <w:qFormat/>
    <w:uiPriority w:val="0"/>
    <w:rPr>
      <w:rFonts w:ascii="宋体" w:hAnsi="Calibri" w:cs="黑体"/>
      <w:kern w:val="2"/>
      <w:sz w:val="18"/>
      <w:szCs w:val="18"/>
    </w:rPr>
  </w:style>
  <w:style w:type="character" w:customStyle="1" w:styleId="18">
    <w:name w:val="批注框文本 Char"/>
    <w:basedOn w:val="9"/>
    <w:link w:val="5"/>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641BE0-9106-4B9A-899B-3A6F2F0B2F0D}">
  <ds:schemaRefs/>
</ds:datastoreItem>
</file>

<file path=docProps/app.xml><?xml version="1.0" encoding="utf-8"?>
<Properties xmlns="http://schemas.openxmlformats.org/officeDocument/2006/extended-properties" xmlns:vt="http://schemas.openxmlformats.org/officeDocument/2006/docPropsVTypes">
  <Template>Normal.dotm</Template>
  <Company>czj</Company>
  <Pages>25</Pages>
  <Words>1687</Words>
  <Characters>9621</Characters>
  <Lines>80</Lines>
  <Paragraphs>22</Paragraphs>
  <ScaleCrop>false</ScaleCrop>
  <LinksUpToDate>false</LinksUpToDate>
  <CharactersWithSpaces>11286</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2019-08-07T23:56:00Z</dcterms:created>
  <dc:creator>user</dc:creator>
  <cp:lastModifiedBy>张磊</cp:lastModifiedBy>
  <cp:lastPrinted>2019-08-15T01:09:00Z</cp:lastPrinted>
  <dcterms:modified xsi:type="dcterms:W3CDTF">2019-08-30T08:41:42Z</dcterms:modified>
  <dc:title>附件2：预算主管部门公开样张</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